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7AAF" w14:textId="72618F02" w:rsidR="00DA1929" w:rsidRPr="002E1E92" w:rsidRDefault="00DA1929" w:rsidP="00DA1929">
      <w:pPr>
        <w:pStyle w:val="CH"/>
        <w:rPr>
          <w:i/>
        </w:rPr>
      </w:pPr>
      <w:bookmarkStart w:id="0" w:name="historyclause"/>
      <w:r w:rsidRPr="002E1E92">
        <w:t>3GPP TSG-</w:t>
      </w:r>
      <w:fldSimple w:instr=" DOCPROPERTY  TSG/WGRef  \* MERGEFORMAT ">
        <w:r w:rsidRPr="002E1E92">
          <w:t>RAN4</w:t>
        </w:r>
      </w:fldSimple>
      <w:r w:rsidRPr="002E1E92">
        <w:t xml:space="preserve"> Meeting #</w:t>
      </w:r>
      <w:fldSimple w:instr=" DOCPROPERTY  MtgSeq  \* MERGEFORMAT ">
        <w:r w:rsidRPr="002E1E92">
          <w:t>107</w:t>
        </w:r>
      </w:fldSimple>
      <w:r w:rsidRPr="002E1E92">
        <w:rPr>
          <w:i/>
        </w:rPr>
        <w:tab/>
      </w:r>
      <w:r>
        <w:rPr>
          <w:i/>
        </w:rPr>
        <w:tab/>
      </w:r>
      <w:fldSimple w:instr=" DOCPROPERTY  Tdoc#  \* MERGEFORMAT ">
        <w:r w:rsidR="000E59EC">
          <w:t>R4-2309075</w:t>
        </w:r>
        <w:r w:rsidR="000E59EC" w:rsidRPr="002E1E92">
          <w:rPr>
            <w:i/>
          </w:rPr>
          <w:t xml:space="preserve"> </w:t>
        </w:r>
      </w:fldSimple>
    </w:p>
    <w:p w14:paraId="49510515" w14:textId="20B47F31" w:rsidR="00FF3742" w:rsidRPr="00BE6B71" w:rsidRDefault="00000000" w:rsidP="00DA1929">
      <w:pPr>
        <w:pStyle w:val="CH"/>
        <w:rPr>
          <w:lang w:val="en-US"/>
        </w:rPr>
      </w:pPr>
      <w:fldSimple w:instr=" DOCPROPERTY  Location  \* MERGEFORMAT ">
        <w:r w:rsidR="00DA1929" w:rsidRPr="002E1E92">
          <w:t>Incheon</w:t>
        </w:r>
      </w:fldSimple>
      <w:r w:rsidR="00DA1929" w:rsidRPr="002E1E92">
        <w:t>, South Korea, May 22</w:t>
      </w:r>
      <w:fldSimple w:instr=" DOCPROPERTY  Country  \* MERGEFORMAT "/>
      <w:r w:rsidR="00DA1929" w:rsidRPr="002E1E92">
        <w:rPr>
          <w:vertAlign w:val="superscript"/>
        </w:rPr>
        <w:t>nd</w:t>
      </w:r>
      <w:r w:rsidR="00DA1929" w:rsidRPr="002E1E92">
        <w:t xml:space="preserve"> – 26</w:t>
      </w:r>
      <w:r w:rsidR="00DA1929" w:rsidRPr="002E1E92">
        <w:rPr>
          <w:vertAlign w:val="superscript"/>
        </w:rPr>
        <w:t>th</w:t>
      </w:r>
      <w:r w:rsidR="00DA1929" w:rsidRPr="002E1E92">
        <w:t>, 2023</w:t>
      </w:r>
    </w:p>
    <w:p w14:paraId="330511C0" w14:textId="77777777" w:rsidR="00B23AC9" w:rsidRPr="00BE6B71" w:rsidRDefault="00B23AC9" w:rsidP="00D309CC">
      <w:pPr>
        <w:pStyle w:val="CH"/>
        <w:rPr>
          <w:lang w:val="en-US"/>
        </w:rPr>
      </w:pPr>
    </w:p>
    <w:p w14:paraId="6DDCE159" w14:textId="534EE7B2" w:rsidR="00D309CC" w:rsidRPr="00BE6B71" w:rsidRDefault="00D309CC" w:rsidP="00D309CC">
      <w:pPr>
        <w:pStyle w:val="CH"/>
        <w:rPr>
          <w:b w:val="0"/>
          <w:lang w:val="en-US"/>
        </w:rPr>
      </w:pPr>
      <w:r w:rsidRPr="00BE6B71">
        <w:rPr>
          <w:lang w:val="en-US"/>
        </w:rPr>
        <w:t>Agenda item:</w:t>
      </w:r>
      <w:r w:rsidRPr="00BE6B71">
        <w:rPr>
          <w:lang w:val="en-US"/>
        </w:rPr>
        <w:tab/>
      </w:r>
      <w:r w:rsidR="00195827">
        <w:rPr>
          <w:lang w:val="en-US"/>
        </w:rPr>
        <w:t>8</w:t>
      </w:r>
      <w:r w:rsidR="00430ACB" w:rsidRPr="00BE6B71">
        <w:rPr>
          <w:lang w:val="en-US"/>
        </w:rPr>
        <w:t>.28.2.4</w:t>
      </w:r>
    </w:p>
    <w:p w14:paraId="4DBE005A" w14:textId="60037D0C" w:rsidR="00D309CC" w:rsidRPr="00BE6B71" w:rsidRDefault="00D309CC" w:rsidP="00D309CC">
      <w:pPr>
        <w:pStyle w:val="CH"/>
        <w:rPr>
          <w:b w:val="0"/>
          <w:lang w:val="en-US"/>
        </w:rPr>
      </w:pPr>
      <w:r w:rsidRPr="00BE6B71">
        <w:rPr>
          <w:lang w:val="en-US"/>
        </w:rPr>
        <w:t>Source:</w:t>
      </w:r>
      <w:r w:rsidRPr="00BE6B71">
        <w:rPr>
          <w:lang w:val="en-US"/>
        </w:rPr>
        <w:tab/>
        <w:t>Apple</w:t>
      </w:r>
    </w:p>
    <w:p w14:paraId="0D2061A1" w14:textId="2F0A773B" w:rsidR="00D309CC" w:rsidRPr="00BE6B71" w:rsidRDefault="00D309CC" w:rsidP="00D309CC">
      <w:pPr>
        <w:pStyle w:val="CH"/>
        <w:rPr>
          <w:lang w:val="en-US"/>
        </w:rPr>
      </w:pPr>
      <w:r w:rsidRPr="00BE6B71">
        <w:rPr>
          <w:lang w:val="en-US"/>
        </w:rPr>
        <w:t>Title:</w:t>
      </w:r>
      <w:r w:rsidRPr="00BE6B71">
        <w:rPr>
          <w:lang w:val="en-US"/>
        </w:rPr>
        <w:tab/>
      </w:r>
      <w:r w:rsidR="000E59EC" w:rsidRPr="000E59EC">
        <w:rPr>
          <w:sz w:val="23"/>
          <w:szCs w:val="23"/>
        </w:rPr>
        <w:t>On Rel-18 coverage enhancement</w:t>
      </w:r>
    </w:p>
    <w:p w14:paraId="6C6D1281" w14:textId="25ED01AF" w:rsidR="00104BC6" w:rsidRPr="00BE6B71" w:rsidRDefault="00104BC6" w:rsidP="00D309CC">
      <w:pPr>
        <w:pStyle w:val="CH"/>
        <w:rPr>
          <w:lang w:val="en-US"/>
        </w:rPr>
      </w:pPr>
      <w:r w:rsidRPr="00BE6B71">
        <w:rPr>
          <w:lang w:val="en-US"/>
        </w:rPr>
        <w:t>Release:</w:t>
      </w:r>
      <w:r w:rsidRPr="00BE6B71">
        <w:rPr>
          <w:lang w:val="en-US"/>
        </w:rPr>
        <w:tab/>
        <w:t>Rel-</w:t>
      </w:r>
      <w:r w:rsidR="002A79F8" w:rsidRPr="00BE6B71">
        <w:rPr>
          <w:lang w:val="en-US"/>
        </w:rPr>
        <w:t>1</w:t>
      </w:r>
      <w:r w:rsidR="00F02526" w:rsidRPr="00BE6B71">
        <w:rPr>
          <w:lang w:val="en-US"/>
        </w:rPr>
        <w:t>8</w:t>
      </w:r>
    </w:p>
    <w:p w14:paraId="2E4E044D" w14:textId="1623AF64" w:rsidR="00D309CC" w:rsidRPr="00BE6B71" w:rsidRDefault="00D309CC" w:rsidP="00D309CC">
      <w:pPr>
        <w:pStyle w:val="CH"/>
        <w:rPr>
          <w:lang w:val="en-US"/>
        </w:rPr>
      </w:pPr>
      <w:r w:rsidRPr="00BE6B71">
        <w:rPr>
          <w:lang w:val="en-US"/>
        </w:rPr>
        <w:t>Document for:</w:t>
      </w:r>
      <w:r w:rsidRPr="00BE6B71">
        <w:rPr>
          <w:lang w:val="en-US"/>
        </w:rPr>
        <w:tab/>
      </w:r>
      <w:r w:rsidR="00136021" w:rsidRPr="00BE6B71">
        <w:rPr>
          <w:lang w:val="en-US"/>
        </w:rPr>
        <w:t>Approval</w:t>
      </w:r>
    </w:p>
    <w:p w14:paraId="0207DB43" w14:textId="77777777" w:rsidR="00D46431" w:rsidRPr="00BE6B71" w:rsidRDefault="00D46431" w:rsidP="00D309CC">
      <w:pPr>
        <w:pStyle w:val="CH"/>
        <w:rPr>
          <w:b w:val="0"/>
          <w:lang w:val="en-US"/>
        </w:rPr>
      </w:pPr>
    </w:p>
    <w:p w14:paraId="0273524A" w14:textId="4CB82785" w:rsidR="008E7986" w:rsidRPr="00BE6B71" w:rsidRDefault="008E7986" w:rsidP="008E7986">
      <w:pPr>
        <w:pStyle w:val="Heading1"/>
        <w:rPr>
          <w:lang w:val="en-US"/>
        </w:rPr>
      </w:pPr>
      <w:proofErr w:type="gramStart"/>
      <w:r w:rsidRPr="00BE6B71">
        <w:rPr>
          <w:lang w:val="en-US"/>
        </w:rPr>
        <w:t>1</w:t>
      </w:r>
      <w:r w:rsidR="006C1988" w:rsidRPr="00BE6B71">
        <w:rPr>
          <w:lang w:val="en-US"/>
        </w:rPr>
        <w:t xml:space="preserve">  </w:t>
      </w:r>
      <w:r w:rsidRPr="00BE6B71">
        <w:rPr>
          <w:lang w:val="en-US"/>
        </w:rPr>
        <w:t>Introduction</w:t>
      </w:r>
      <w:proofErr w:type="gramEnd"/>
      <w:r w:rsidRPr="00BE6B71">
        <w:rPr>
          <w:lang w:val="en-US"/>
        </w:rPr>
        <w:t xml:space="preserve"> </w:t>
      </w:r>
    </w:p>
    <w:p w14:paraId="13D11A88" w14:textId="09733FE3" w:rsidR="00B93956" w:rsidRPr="00BE6B71" w:rsidRDefault="00286D02" w:rsidP="00B93956">
      <w:pPr>
        <w:jc w:val="both"/>
        <w:rPr>
          <w:lang w:val="en-US"/>
        </w:rPr>
      </w:pPr>
      <w:r w:rsidRPr="00BE6B71">
        <w:rPr>
          <w:lang w:val="en-US"/>
        </w:rPr>
        <w:t>The</w:t>
      </w:r>
      <w:r w:rsidR="009B6C98" w:rsidRPr="00BE6B71">
        <w:rPr>
          <w:lang w:val="en-US"/>
        </w:rPr>
        <w:t xml:space="preserve"> WI [</w:t>
      </w:r>
      <w:r w:rsidR="00293389" w:rsidRPr="00BE6B71">
        <w:rPr>
          <w:lang w:val="en-US"/>
        </w:rPr>
        <w:t>1</w:t>
      </w:r>
      <w:r w:rsidR="009B6C98" w:rsidRPr="00BE6B71">
        <w:rPr>
          <w:lang w:val="en-US"/>
        </w:rPr>
        <w:t xml:space="preserve">] </w:t>
      </w:r>
      <w:r w:rsidRPr="00BE6B71">
        <w:rPr>
          <w:lang w:val="en-US"/>
        </w:rPr>
        <w:t xml:space="preserve">on NR coverage enhancements aims to reduce MPR/PAR through diverse techniques. </w:t>
      </w:r>
      <w:r w:rsidR="008D2087" w:rsidRPr="00BE6B71">
        <w:rPr>
          <w:lang w:val="en-US"/>
        </w:rPr>
        <w:t xml:space="preserve">During RAN4#106bis-e simulation data has been collected from several companies and combined into a large excel document. This contribution provides detailed analysis of available data and </w:t>
      </w:r>
      <w:r w:rsidR="009406C9" w:rsidRPr="00BE6B71">
        <w:rPr>
          <w:lang w:val="en-US"/>
        </w:rPr>
        <w:t xml:space="preserve">makes observations and </w:t>
      </w:r>
      <w:r w:rsidR="008D2087" w:rsidRPr="00BE6B71">
        <w:rPr>
          <w:lang w:val="en-US"/>
        </w:rPr>
        <w:t>draws conclusion</w:t>
      </w:r>
      <w:r w:rsidR="009406C9" w:rsidRPr="00BE6B71">
        <w:rPr>
          <w:lang w:val="en-US"/>
        </w:rPr>
        <w:t>s</w:t>
      </w:r>
      <w:r w:rsidR="008D2087" w:rsidRPr="00BE6B71">
        <w:rPr>
          <w:lang w:val="en-US"/>
        </w:rPr>
        <w:t xml:space="preserve">. </w:t>
      </w:r>
    </w:p>
    <w:p w14:paraId="0555B6C0" w14:textId="382961EA" w:rsidR="00087309" w:rsidRPr="00BE6B71" w:rsidRDefault="008E7986" w:rsidP="0054128D">
      <w:pPr>
        <w:pStyle w:val="Heading1"/>
        <w:rPr>
          <w:lang w:val="en-US"/>
        </w:rPr>
      </w:pPr>
      <w:proofErr w:type="gramStart"/>
      <w:r w:rsidRPr="00BE6B71">
        <w:rPr>
          <w:lang w:val="en-US"/>
        </w:rPr>
        <w:t>2</w:t>
      </w:r>
      <w:r w:rsidR="006212AD" w:rsidRPr="00BE6B71">
        <w:rPr>
          <w:lang w:val="en-US"/>
        </w:rPr>
        <w:t xml:space="preserve"> </w:t>
      </w:r>
      <w:r w:rsidRPr="00BE6B71">
        <w:rPr>
          <w:lang w:val="en-US"/>
        </w:rPr>
        <w:t xml:space="preserve"> </w:t>
      </w:r>
      <w:r w:rsidR="006212AD" w:rsidRPr="00BE6B71">
        <w:rPr>
          <w:lang w:val="en-US"/>
        </w:rPr>
        <w:t>Discussion</w:t>
      </w:r>
      <w:proofErr w:type="gramEnd"/>
    </w:p>
    <w:p w14:paraId="7489E2E7" w14:textId="59E46680" w:rsidR="00F568EF" w:rsidRPr="00BE6B71" w:rsidRDefault="00F568EF" w:rsidP="00F568EF">
      <w:pPr>
        <w:pStyle w:val="Heading7"/>
        <w:rPr>
          <w:lang w:val="en-US"/>
        </w:rPr>
      </w:pPr>
      <w:r w:rsidRPr="00BE6B71">
        <w:rPr>
          <w:lang w:val="en-US"/>
        </w:rPr>
        <w:t>2.</w:t>
      </w:r>
      <w:r w:rsidR="009406C9" w:rsidRPr="00BE6B71">
        <w:rPr>
          <w:lang w:val="en-US"/>
        </w:rPr>
        <w:t>1</w:t>
      </w:r>
      <w:r w:rsidRPr="00BE6B71">
        <w:rPr>
          <w:lang w:val="en-US"/>
        </w:rPr>
        <w:t xml:space="preserve"> Shaping function and frequency extension</w:t>
      </w:r>
    </w:p>
    <w:p w14:paraId="4BB24E87" w14:textId="476097F8" w:rsidR="00F568EF" w:rsidRPr="00BE6B71" w:rsidRDefault="009406C9" w:rsidP="00F568EF">
      <w:pPr>
        <w:jc w:val="both"/>
        <w:rPr>
          <w:lang w:val="en-US"/>
        </w:rPr>
      </w:pPr>
      <w:r w:rsidRPr="00BE6B71">
        <w:rPr>
          <w:lang w:val="en-US"/>
        </w:rPr>
        <w:t xml:space="preserve">One discussion in RAN4#106bis-e was revolving </w:t>
      </w:r>
      <w:r w:rsidR="00083654" w:rsidRPr="00BE6B71">
        <w:rPr>
          <w:lang w:val="en-US"/>
        </w:rPr>
        <w:t>around</w:t>
      </w:r>
      <w:r w:rsidRPr="00BE6B71">
        <w:rPr>
          <w:lang w:val="en-US"/>
        </w:rPr>
        <w:t xml:space="preserve"> the </w:t>
      </w:r>
      <w:proofErr w:type="spellStart"/>
      <w:r w:rsidRPr="00BE6B71">
        <w:rPr>
          <w:lang w:val="en-US"/>
        </w:rPr>
        <w:t>gNB</w:t>
      </w:r>
      <w:proofErr w:type="spellEnd"/>
      <w:r w:rsidRPr="00BE6B71">
        <w:rPr>
          <w:lang w:val="en-US"/>
        </w:rPr>
        <w:t xml:space="preserve"> receiver implementation. In case of fully transparent schemes the receiver does not require any modifications to achieve maximum </w:t>
      </w:r>
      <w:proofErr w:type="spellStart"/>
      <w:r w:rsidRPr="00BE6B71">
        <w:rPr>
          <w:lang w:val="en-US"/>
        </w:rPr>
        <w:t>demod</w:t>
      </w:r>
      <w:proofErr w:type="spellEnd"/>
      <w:r w:rsidRPr="00BE6B71">
        <w:rPr>
          <w:lang w:val="en-US"/>
        </w:rPr>
        <w:t xml:space="preserve"> performance. For non-transparent techniques modifications at receiver side are required for optimum performance. If</w:t>
      </w:r>
      <w:r w:rsidR="00BB02A6" w:rsidRPr="00BE6B71">
        <w:rPr>
          <w:lang w:val="en-US"/>
        </w:rPr>
        <w:t xml:space="preserve"> </w:t>
      </w:r>
      <w:r w:rsidRPr="00BE6B71">
        <w:rPr>
          <w:lang w:val="en-US"/>
        </w:rPr>
        <w:t>a</w:t>
      </w:r>
      <w:r w:rsidR="00F568EF" w:rsidRPr="00BE6B71">
        <w:rPr>
          <w:lang w:val="en-US"/>
        </w:rPr>
        <w:t xml:space="preserve"> conventional receiver (which only considers the in-band portion of the signal)</w:t>
      </w:r>
      <w:r w:rsidRPr="00BE6B71">
        <w:rPr>
          <w:lang w:val="en-US"/>
        </w:rPr>
        <w:t xml:space="preserve"> is deployed at </w:t>
      </w:r>
      <w:proofErr w:type="spellStart"/>
      <w:r w:rsidRPr="00BE6B71">
        <w:rPr>
          <w:lang w:val="en-US"/>
        </w:rPr>
        <w:t>gNB</w:t>
      </w:r>
      <w:proofErr w:type="spellEnd"/>
      <w:r w:rsidRPr="00BE6B71">
        <w:rPr>
          <w:lang w:val="en-US"/>
        </w:rPr>
        <w:t xml:space="preserve"> then</w:t>
      </w:r>
      <w:r w:rsidR="00BB02A6" w:rsidRPr="00BE6B71">
        <w:rPr>
          <w:lang w:val="en-US"/>
        </w:rPr>
        <w:t xml:space="preserve"> </w:t>
      </w:r>
      <w:r w:rsidR="006A2F7F" w:rsidRPr="00BE6B71">
        <w:rPr>
          <w:lang w:val="en-US"/>
        </w:rPr>
        <w:t>some</w:t>
      </w:r>
      <w:r w:rsidRPr="00BE6B71">
        <w:rPr>
          <w:lang w:val="en-US"/>
        </w:rPr>
        <w:t xml:space="preserve"> of the </w:t>
      </w:r>
      <w:r w:rsidR="00083654" w:rsidRPr="00BE6B71">
        <w:rPr>
          <w:lang w:val="en-US"/>
        </w:rPr>
        <w:t>waveform</w:t>
      </w:r>
      <w:r w:rsidRPr="00BE6B71">
        <w:rPr>
          <w:lang w:val="en-US"/>
        </w:rPr>
        <w:t xml:space="preserve"> </w:t>
      </w:r>
      <w:r w:rsidR="00083654" w:rsidRPr="00BE6B71">
        <w:rPr>
          <w:lang w:val="en-US"/>
        </w:rPr>
        <w:t>energy</w:t>
      </w:r>
      <w:r w:rsidRPr="00BE6B71">
        <w:rPr>
          <w:lang w:val="en-US"/>
        </w:rPr>
        <w:t xml:space="preserve"> </w:t>
      </w:r>
      <w:r w:rsidR="00083654" w:rsidRPr="00BE6B71">
        <w:rPr>
          <w:lang w:val="en-US"/>
        </w:rPr>
        <w:t>is</w:t>
      </w:r>
      <w:r w:rsidRPr="00BE6B71">
        <w:rPr>
          <w:lang w:val="en-US"/>
        </w:rPr>
        <w:t xml:space="preserve"> </w:t>
      </w:r>
      <w:r w:rsidR="00C55FBD" w:rsidRPr="00BE6B71">
        <w:rPr>
          <w:lang w:val="en-US"/>
        </w:rPr>
        <w:t>excluded</w:t>
      </w:r>
      <w:r w:rsidRPr="00BE6B71">
        <w:rPr>
          <w:lang w:val="en-US"/>
        </w:rPr>
        <w:t xml:space="preserve"> during the demodulation process</w:t>
      </w:r>
      <w:r w:rsidR="006A2F7F" w:rsidRPr="00BE6B71">
        <w:rPr>
          <w:lang w:val="en-US"/>
        </w:rPr>
        <w:t xml:space="preserve"> and therefore information which would improve the result</w:t>
      </w:r>
      <w:r w:rsidRPr="00BE6B71">
        <w:rPr>
          <w:lang w:val="en-US"/>
        </w:rPr>
        <w:t xml:space="preserve">. </w:t>
      </w:r>
      <w:r w:rsidR="006A2F7F" w:rsidRPr="00BE6B71">
        <w:rPr>
          <w:lang w:val="en-US"/>
        </w:rPr>
        <w:t>I</w:t>
      </w:r>
      <w:r w:rsidRPr="00BE6B71">
        <w:rPr>
          <w:lang w:val="en-US"/>
        </w:rPr>
        <w:t xml:space="preserve">n case of spectrum </w:t>
      </w:r>
      <w:r w:rsidR="006A2F7F" w:rsidRPr="00BE6B71">
        <w:rPr>
          <w:lang w:val="en-US"/>
        </w:rPr>
        <w:t>extension,</w:t>
      </w:r>
      <w:r w:rsidRPr="00BE6B71">
        <w:rPr>
          <w:lang w:val="en-US"/>
        </w:rPr>
        <w:t xml:space="preserve"> the </w:t>
      </w:r>
      <w:r w:rsidR="00266E93" w:rsidRPr="00BE6B71">
        <w:rPr>
          <w:lang w:val="en-US"/>
        </w:rPr>
        <w:t>extension contributes to the</w:t>
      </w:r>
      <w:r w:rsidR="009825BD" w:rsidRPr="00BE6B71">
        <w:rPr>
          <w:lang w:val="en-US"/>
        </w:rPr>
        <w:t xml:space="preserve"> total output </w:t>
      </w:r>
      <w:r w:rsidR="002145EE" w:rsidRPr="00BE6B71">
        <w:rPr>
          <w:lang w:val="en-US"/>
        </w:rPr>
        <w:t xml:space="preserve">power which </w:t>
      </w:r>
      <w:r w:rsidR="0036443F" w:rsidRPr="00BE6B71">
        <w:rPr>
          <w:lang w:val="en-US"/>
        </w:rPr>
        <w:t xml:space="preserve">also </w:t>
      </w:r>
      <w:r w:rsidR="00817F60" w:rsidRPr="00BE6B71">
        <w:rPr>
          <w:lang w:val="en-US"/>
        </w:rPr>
        <w:t>contributes</w:t>
      </w:r>
      <w:r w:rsidR="0036443F" w:rsidRPr="00BE6B71">
        <w:rPr>
          <w:lang w:val="en-US"/>
        </w:rPr>
        <w:t xml:space="preserve"> to</w:t>
      </w:r>
      <w:r w:rsidR="002145EE" w:rsidRPr="00BE6B71">
        <w:rPr>
          <w:lang w:val="en-US"/>
        </w:rPr>
        <w:t xml:space="preserve"> the OBO</w:t>
      </w:r>
      <w:r w:rsidRPr="00BE6B71">
        <w:rPr>
          <w:lang w:val="en-US"/>
        </w:rPr>
        <w:t xml:space="preserve">. With ignoring the </w:t>
      </w:r>
      <w:r w:rsidR="00332D73" w:rsidRPr="00BE6B71">
        <w:rPr>
          <w:lang w:val="en-US"/>
        </w:rPr>
        <w:t>extension,</w:t>
      </w:r>
      <w:r w:rsidRPr="00BE6B71">
        <w:rPr>
          <w:lang w:val="en-US"/>
        </w:rPr>
        <w:t xml:space="preserve"> t</w:t>
      </w:r>
      <w:r w:rsidR="00F568EF" w:rsidRPr="00BE6B71">
        <w:rPr>
          <w:lang w:val="en-US"/>
        </w:rPr>
        <w:t xml:space="preserve">he </w:t>
      </w:r>
      <w:r w:rsidR="00083654" w:rsidRPr="00BE6B71">
        <w:rPr>
          <w:lang w:val="en-US"/>
        </w:rPr>
        <w:t>loss in power</w:t>
      </w:r>
      <w:r w:rsidR="00F568EF" w:rsidRPr="00BE6B71">
        <w:rPr>
          <w:lang w:val="en-US"/>
        </w:rPr>
        <w:t xml:space="preserve"> is strongly dependent on shaping filter and the extension factor as displayed in Figure </w:t>
      </w:r>
      <w:r w:rsidR="00BB02A6" w:rsidRPr="00BE6B71">
        <w:rPr>
          <w:lang w:val="en-US"/>
        </w:rPr>
        <w:t>2</w:t>
      </w:r>
      <w:r w:rsidR="00F568EF" w:rsidRPr="00BE6B71">
        <w:rPr>
          <w:lang w:val="en-US"/>
        </w:rPr>
        <w:t>.</w:t>
      </w:r>
      <w:r w:rsidR="00332D73" w:rsidRPr="00BE6B71">
        <w:rPr>
          <w:lang w:val="en-US"/>
        </w:rPr>
        <w:t xml:space="preserve"> If a conventional receiver would be deployed in the </w:t>
      </w:r>
      <w:r w:rsidR="004C22F1" w:rsidRPr="00BE6B71">
        <w:rPr>
          <w:lang w:val="en-US"/>
        </w:rPr>
        <w:t>field,</w:t>
      </w:r>
      <w:r w:rsidR="00332D73" w:rsidRPr="00BE6B71">
        <w:rPr>
          <w:lang w:val="en-US"/>
        </w:rPr>
        <w:t xml:space="preserve"> then the</w:t>
      </w:r>
      <w:r w:rsidR="00F568EF" w:rsidRPr="00BE6B71">
        <w:rPr>
          <w:lang w:val="en-US"/>
        </w:rPr>
        <w:t xml:space="preserve"> </w:t>
      </w:r>
      <w:r w:rsidR="00332D73" w:rsidRPr="00BE6B71">
        <w:rPr>
          <w:lang w:val="en-US"/>
        </w:rPr>
        <w:t>n</w:t>
      </w:r>
      <w:r w:rsidR="00105283" w:rsidRPr="00BE6B71">
        <w:rPr>
          <w:lang w:val="en-US"/>
        </w:rPr>
        <w:t xml:space="preserve">et-gain analysis </w:t>
      </w:r>
      <w:r w:rsidR="006961AC" w:rsidRPr="00BE6B71">
        <w:rPr>
          <w:lang w:val="en-US"/>
        </w:rPr>
        <w:t>needs</w:t>
      </w:r>
      <w:r w:rsidR="00105283" w:rsidRPr="00BE6B71">
        <w:rPr>
          <w:lang w:val="en-US"/>
        </w:rPr>
        <w:t xml:space="preserve"> to consider this </w:t>
      </w:r>
      <w:r w:rsidR="00332D73" w:rsidRPr="00BE6B71">
        <w:rPr>
          <w:lang w:val="en-US"/>
        </w:rPr>
        <w:t>loss</w:t>
      </w:r>
      <w:r w:rsidR="00105283" w:rsidRPr="00BE6B71">
        <w:rPr>
          <w:lang w:val="en-US"/>
        </w:rPr>
        <w:t xml:space="preserve"> </w:t>
      </w:r>
      <w:r w:rsidR="00332D73" w:rsidRPr="00BE6B71">
        <w:rPr>
          <w:lang w:val="en-US"/>
        </w:rPr>
        <w:t xml:space="preserve">by </w:t>
      </w:r>
      <w:r w:rsidR="006961AC" w:rsidRPr="00BE6B71">
        <w:rPr>
          <w:lang w:val="en-US"/>
        </w:rPr>
        <w:t>adjusting</w:t>
      </w:r>
      <w:r w:rsidR="00332D73" w:rsidRPr="00BE6B71">
        <w:rPr>
          <w:lang w:val="en-US"/>
        </w:rPr>
        <w:t xml:space="preserve"> OBO accordingly</w:t>
      </w:r>
      <w:r w:rsidR="00271594" w:rsidRPr="00BE6B71">
        <w:rPr>
          <w:lang w:val="en-US"/>
        </w:rPr>
        <w:t>.</w:t>
      </w:r>
      <w:r w:rsidR="00332D73" w:rsidRPr="00BE6B71">
        <w:rPr>
          <w:lang w:val="en-US"/>
        </w:rPr>
        <w:t xml:space="preserve"> </w:t>
      </w:r>
    </w:p>
    <w:tbl>
      <w:tblPr>
        <w:tblStyle w:val="TableGrid22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5"/>
      </w:tblGrid>
      <w:tr w:rsidR="006701E5" w:rsidRPr="00BE6B71" w14:paraId="363D663B" w14:textId="77777777" w:rsidTr="007B139C">
        <w:tc>
          <w:tcPr>
            <w:tcW w:w="4816" w:type="dxa"/>
          </w:tcPr>
          <w:p w14:paraId="304E0266" w14:textId="3BBEDC4B" w:rsidR="00650EC0" w:rsidRPr="00BE6B71" w:rsidRDefault="00650EC0" w:rsidP="00087C5D">
            <w:pPr>
              <w:jc w:val="center"/>
              <w:rPr>
                <w:lang w:val="en-US"/>
              </w:rPr>
            </w:pPr>
            <w:r w:rsidRPr="00BE6B71">
              <w:rPr>
                <w:noProof/>
                <w:lang w:val="en-US"/>
              </w:rPr>
              <w:drawing>
                <wp:inline distT="0" distB="0" distL="0" distR="0" wp14:anchorId="24160FE6" wp14:editId="7D6CBE8C">
                  <wp:extent cx="2917248" cy="2300748"/>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6914" cy="2308371"/>
                          </a:xfrm>
                          <a:prstGeom prst="rect">
                            <a:avLst/>
                          </a:prstGeom>
                        </pic:spPr>
                      </pic:pic>
                    </a:graphicData>
                  </a:graphic>
                </wp:inline>
              </w:drawing>
            </w:r>
          </w:p>
          <w:p w14:paraId="1D01C0E2" w14:textId="719465F8" w:rsidR="006701E5" w:rsidRPr="00BE6B71" w:rsidRDefault="00650EC0" w:rsidP="00087C5D">
            <w:pPr>
              <w:jc w:val="center"/>
              <w:rPr>
                <w:lang w:val="en-US"/>
              </w:rPr>
            </w:pPr>
            <w:r w:rsidRPr="00BE6B71">
              <w:rPr>
                <w:lang w:val="en-US"/>
              </w:rPr>
              <w:t xml:space="preserve">Fig. 1: Frequency domain response of shaping filter </w:t>
            </w:r>
          </w:p>
        </w:tc>
        <w:tc>
          <w:tcPr>
            <w:tcW w:w="4815" w:type="dxa"/>
          </w:tcPr>
          <w:p w14:paraId="2CB07BA4" w14:textId="5B3BA311" w:rsidR="006701E5" w:rsidRPr="00BE6B71" w:rsidRDefault="00650EC0" w:rsidP="00087C5D">
            <w:pPr>
              <w:jc w:val="center"/>
              <w:rPr>
                <w:lang w:val="en-US"/>
              </w:rPr>
            </w:pPr>
            <w:r w:rsidRPr="00BE6B71">
              <w:rPr>
                <w:noProof/>
                <w:lang w:val="en-US"/>
              </w:rPr>
              <w:drawing>
                <wp:inline distT="0" distB="0" distL="0" distR="0" wp14:anchorId="19EBB691" wp14:editId="2719B69B">
                  <wp:extent cx="2909454" cy="2301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158" cy="2310804"/>
                          </a:xfrm>
                          <a:prstGeom prst="rect">
                            <a:avLst/>
                          </a:prstGeom>
                        </pic:spPr>
                      </pic:pic>
                    </a:graphicData>
                  </a:graphic>
                </wp:inline>
              </w:drawing>
            </w:r>
          </w:p>
          <w:p w14:paraId="6751552C" w14:textId="048842B7" w:rsidR="00650EC0" w:rsidRPr="00BE6B71" w:rsidRDefault="00650EC0" w:rsidP="00087C5D">
            <w:pPr>
              <w:jc w:val="center"/>
              <w:rPr>
                <w:lang w:val="en-US"/>
              </w:rPr>
            </w:pPr>
            <w:r w:rsidRPr="00BE6B71">
              <w:rPr>
                <w:lang w:val="en-US"/>
              </w:rPr>
              <w:t>Fig. 2: Power loss of conventional receiver</w:t>
            </w:r>
          </w:p>
        </w:tc>
      </w:tr>
    </w:tbl>
    <w:p w14:paraId="443AA75E" w14:textId="604CC545" w:rsidR="00087C5D" w:rsidRPr="00BE6B71" w:rsidRDefault="00AE4047" w:rsidP="00AE4047">
      <w:pPr>
        <w:jc w:val="both"/>
        <w:rPr>
          <w:lang w:val="en-US"/>
        </w:rPr>
      </w:pPr>
      <w:r w:rsidRPr="00BE6B71">
        <w:rPr>
          <w:b/>
          <w:bCs/>
          <w:lang w:val="en-US"/>
        </w:rPr>
        <w:t>Observation</w:t>
      </w:r>
      <w:r w:rsidR="00493346" w:rsidRPr="00BE6B71">
        <w:rPr>
          <w:b/>
          <w:bCs/>
          <w:lang w:val="en-US"/>
        </w:rPr>
        <w:t xml:space="preserve"> 1</w:t>
      </w:r>
      <w:r w:rsidRPr="00BE6B71">
        <w:rPr>
          <w:b/>
          <w:bCs/>
          <w:lang w:val="en-US"/>
        </w:rPr>
        <w:t>:</w:t>
      </w:r>
      <w:r w:rsidRPr="00BE6B71">
        <w:rPr>
          <w:lang w:val="en-US"/>
        </w:rPr>
        <w:t xml:space="preserve"> If a conventional receiver (which only considers the in-band portion of the signal) </w:t>
      </w:r>
      <w:r w:rsidR="007F5CCF" w:rsidRPr="00BE6B71">
        <w:rPr>
          <w:lang w:val="en-US"/>
        </w:rPr>
        <w:t xml:space="preserve">is deployed at </w:t>
      </w:r>
      <w:proofErr w:type="spellStart"/>
      <w:r w:rsidR="007F5CCF" w:rsidRPr="00BE6B71">
        <w:rPr>
          <w:lang w:val="en-US"/>
        </w:rPr>
        <w:t>gNB</w:t>
      </w:r>
      <w:proofErr w:type="spellEnd"/>
      <w:r w:rsidR="007F5CCF" w:rsidRPr="00BE6B71">
        <w:rPr>
          <w:lang w:val="en-US"/>
        </w:rPr>
        <w:t xml:space="preserve"> then some of the waveform energy is excluded during the demodulation process and therefore information which would improve the result. In case of spectrum extension, the extension contributes to the total output power which also contributes to the OBO. </w:t>
      </w:r>
      <w:r w:rsidRPr="00BE6B71">
        <w:rPr>
          <w:lang w:val="en-US"/>
        </w:rPr>
        <w:t>If a conventional receiver would be deployed in the field, then the net-gain analysis needs to consider this loss by adjusting OBO accordingly.</w:t>
      </w:r>
    </w:p>
    <w:p w14:paraId="4E0983B7" w14:textId="18FD230A" w:rsidR="009F3CF3" w:rsidRPr="00BE6B71" w:rsidRDefault="0072346E" w:rsidP="0072346E">
      <w:pPr>
        <w:pStyle w:val="Heading7"/>
        <w:rPr>
          <w:lang w:val="en-US"/>
        </w:rPr>
      </w:pPr>
      <w:r w:rsidRPr="00BE6B71">
        <w:rPr>
          <w:lang w:val="en-US"/>
        </w:rPr>
        <w:lastRenderedPageBreak/>
        <w:t>2.</w:t>
      </w:r>
      <w:r w:rsidR="004C44DD" w:rsidRPr="00BE6B71">
        <w:rPr>
          <w:lang w:val="en-US"/>
        </w:rPr>
        <w:t>3</w:t>
      </w:r>
      <w:r w:rsidRPr="00BE6B71">
        <w:rPr>
          <w:lang w:val="en-US"/>
        </w:rPr>
        <w:t xml:space="preserve"> </w:t>
      </w:r>
      <w:r w:rsidR="00AE4047" w:rsidRPr="00BE6B71">
        <w:rPr>
          <w:lang w:val="en-US"/>
        </w:rPr>
        <w:t>Evaluation of simulation results</w:t>
      </w:r>
    </w:p>
    <w:p w14:paraId="2CB8BF6F" w14:textId="32224EE6" w:rsidR="00AE4047" w:rsidRPr="00BE6B71" w:rsidRDefault="00AE4047" w:rsidP="00AE4047">
      <w:pPr>
        <w:jc w:val="both"/>
        <w:rPr>
          <w:lang w:val="en-US"/>
        </w:rPr>
      </w:pPr>
      <w:r w:rsidRPr="00BE6B71">
        <w:rPr>
          <w:lang w:val="en-US"/>
        </w:rPr>
        <w:t xml:space="preserve">This section provides analysis on the simulations results which have been collected during RAN4#106bis-e </w:t>
      </w:r>
      <w:r w:rsidR="00100133" w:rsidRPr="00BE6B71">
        <w:rPr>
          <w:lang w:val="en-US"/>
        </w:rPr>
        <w:t>and</w:t>
      </w:r>
      <w:r w:rsidRPr="00BE6B71">
        <w:rPr>
          <w:lang w:val="en-US"/>
        </w:rPr>
        <w:t xml:space="preserve"> post meeting. The net-gain for transparent and non-transparent schemes are calculate and condensed to allow </w:t>
      </w:r>
      <w:r w:rsidR="007F5CCF" w:rsidRPr="00BE6B71">
        <w:rPr>
          <w:lang w:val="en-US"/>
        </w:rPr>
        <w:t>making</w:t>
      </w:r>
      <w:r w:rsidRPr="00BE6B71">
        <w:rPr>
          <w:lang w:val="en-US"/>
        </w:rPr>
        <w:t xml:space="preserve"> conclusions. For details on the calculation and analysis the reader is asked to check the companion excel sheet.</w:t>
      </w:r>
      <w:r w:rsidR="00B1598D" w:rsidRPr="00BE6B71">
        <w:rPr>
          <w:lang w:val="en-US"/>
        </w:rPr>
        <w:t xml:space="preserve"> In the following the results are provided and the reasoning on data crunching. </w:t>
      </w:r>
    </w:p>
    <w:p w14:paraId="59941D68" w14:textId="5EDAAC4B" w:rsidR="00395D29" w:rsidRPr="00BE6B71" w:rsidRDefault="00395D29" w:rsidP="00AE4047">
      <w:pPr>
        <w:jc w:val="both"/>
        <w:rPr>
          <w:lang w:val="en-US"/>
        </w:rPr>
      </w:pPr>
      <w:r w:rsidRPr="00BE6B71">
        <w:rPr>
          <w:lang w:val="en-US"/>
        </w:rPr>
        <w:t xml:space="preserve">In the following the company names are </w:t>
      </w:r>
      <w:r w:rsidR="00226D0A" w:rsidRPr="00BE6B71">
        <w:rPr>
          <w:lang w:val="en-US"/>
        </w:rPr>
        <w:t>directly</w:t>
      </w:r>
      <w:r w:rsidRPr="00BE6B71">
        <w:rPr>
          <w:lang w:val="en-US"/>
        </w:rPr>
        <w:t xml:space="preserve"> </w:t>
      </w:r>
      <w:r w:rsidR="00226D0A" w:rsidRPr="00BE6B71">
        <w:rPr>
          <w:lang w:val="en-US"/>
        </w:rPr>
        <w:t>mentioned</w:t>
      </w:r>
      <w:r w:rsidRPr="00BE6B71">
        <w:rPr>
          <w:lang w:val="en-US"/>
        </w:rPr>
        <w:t xml:space="preserve"> (instead of company A, B</w:t>
      </w:r>
      <w:r w:rsidR="00442DC2" w:rsidRPr="00BE6B71">
        <w:rPr>
          <w:lang w:val="en-US"/>
        </w:rPr>
        <w:t xml:space="preserve"> etc.</w:t>
      </w:r>
      <w:r w:rsidRPr="00BE6B71">
        <w:rPr>
          <w:lang w:val="en-US"/>
        </w:rPr>
        <w:t xml:space="preserve">) to make comparison easier </w:t>
      </w:r>
      <w:r w:rsidR="00226D0A" w:rsidRPr="00BE6B71">
        <w:rPr>
          <w:lang w:val="en-US"/>
        </w:rPr>
        <w:t>and</w:t>
      </w:r>
      <w:r w:rsidRPr="00BE6B71">
        <w:rPr>
          <w:lang w:val="en-US"/>
        </w:rPr>
        <w:t xml:space="preserve"> to </w:t>
      </w:r>
      <w:r w:rsidR="00DB3D29" w:rsidRPr="00BE6B71">
        <w:rPr>
          <w:lang w:val="en-US"/>
        </w:rPr>
        <w:t>honor</w:t>
      </w:r>
      <w:r w:rsidRPr="00BE6B71">
        <w:rPr>
          <w:lang w:val="en-US"/>
        </w:rPr>
        <w:t xml:space="preserve"> the</w:t>
      </w:r>
      <w:r w:rsidR="00DB3D29" w:rsidRPr="00BE6B71">
        <w:rPr>
          <w:lang w:val="en-US"/>
        </w:rPr>
        <w:t xml:space="preserve"> tremendous</w:t>
      </w:r>
      <w:r w:rsidRPr="00BE6B71">
        <w:rPr>
          <w:lang w:val="en-US"/>
        </w:rPr>
        <w:t xml:space="preserve"> effort </w:t>
      </w:r>
      <w:r w:rsidR="00226D0A" w:rsidRPr="00BE6B71">
        <w:rPr>
          <w:lang w:val="en-US"/>
        </w:rPr>
        <w:t xml:space="preserve">which has been spent </w:t>
      </w:r>
      <w:r w:rsidRPr="00BE6B71">
        <w:rPr>
          <w:lang w:val="en-US"/>
        </w:rPr>
        <w:t xml:space="preserve">in generating and </w:t>
      </w:r>
      <w:r w:rsidR="00100133" w:rsidRPr="00BE6B71">
        <w:rPr>
          <w:lang w:val="en-US"/>
        </w:rPr>
        <w:t xml:space="preserve">in </w:t>
      </w:r>
      <w:r w:rsidRPr="00BE6B71">
        <w:rPr>
          <w:lang w:val="en-US"/>
        </w:rPr>
        <w:t>providing the results.</w:t>
      </w:r>
    </w:p>
    <w:p w14:paraId="04CF1FB9" w14:textId="26C1195B" w:rsidR="00A41384" w:rsidRPr="00BE6B71" w:rsidRDefault="00B1598D" w:rsidP="00AE4047">
      <w:pPr>
        <w:jc w:val="both"/>
        <w:rPr>
          <w:lang w:val="en-US"/>
        </w:rPr>
      </w:pPr>
      <w:r w:rsidRPr="00BE6B71">
        <w:rPr>
          <w:lang w:val="en-US"/>
        </w:rPr>
        <w:t xml:space="preserve">The net-gain has been calculated using the contributions from Ericsson, Huawei, Nokia, Qualcomm and vivo. </w:t>
      </w:r>
      <w:r w:rsidR="006D5976" w:rsidRPr="00BE6B71">
        <w:rPr>
          <w:lang w:val="en-US"/>
        </w:rPr>
        <w:t>Both</w:t>
      </w:r>
      <w:r w:rsidRPr="00BE6B71">
        <w:rPr>
          <w:lang w:val="en-US"/>
        </w:rPr>
        <w:t xml:space="preserve"> frequency ranges (700MHz and 4GHz) are evaluated</w:t>
      </w:r>
      <w:r w:rsidR="006D5976" w:rsidRPr="00BE6B71">
        <w:rPr>
          <w:lang w:val="en-US"/>
        </w:rPr>
        <w:t>. In the following t</w:t>
      </w:r>
      <w:r w:rsidRPr="00BE6B71">
        <w:rPr>
          <w:lang w:val="en-US"/>
        </w:rPr>
        <w:t>he focus lies on 4GHz</w:t>
      </w:r>
      <w:r w:rsidR="006D5976" w:rsidRPr="00BE6B71">
        <w:rPr>
          <w:lang w:val="en-US"/>
        </w:rPr>
        <w:t xml:space="preserve"> and the details on 700MHz are provided in the annex.</w:t>
      </w:r>
      <w:r w:rsidR="00A41384" w:rsidRPr="00BE6B71">
        <w:rPr>
          <w:lang w:val="en-US"/>
        </w:rPr>
        <w:t xml:space="preserve"> </w:t>
      </w:r>
    </w:p>
    <w:p w14:paraId="04A9301B" w14:textId="7DC20B07" w:rsidR="00A41384" w:rsidRPr="00BE6B71" w:rsidRDefault="00A41384" w:rsidP="00AE4047">
      <w:pPr>
        <w:jc w:val="both"/>
        <w:rPr>
          <w:lang w:val="en-US"/>
        </w:rPr>
      </w:pPr>
      <w:r w:rsidRPr="00BE6B71">
        <w:rPr>
          <w:lang w:val="en-US"/>
        </w:rPr>
        <w:t>In most cases companies provide several data points for a certain RB configuration. The setup could differ in deployed shaping filter, use of alternative transparent peak cancelation methods, extension factor or MCS.</w:t>
      </w:r>
      <w:r w:rsidR="0040534E" w:rsidRPr="00BE6B71">
        <w:rPr>
          <w:lang w:val="en-US"/>
        </w:rPr>
        <w:t xml:space="preserve"> For each data point the net-gain is calculated by utilizing the agreed net-gain equation from WF [2]. The net-gain results </w:t>
      </w:r>
      <w:r w:rsidR="007F5CCF" w:rsidRPr="00BE6B71">
        <w:rPr>
          <w:lang w:val="en-US"/>
        </w:rPr>
        <w:t>of</w:t>
      </w:r>
      <w:r w:rsidR="0040534E" w:rsidRPr="00BE6B71">
        <w:rPr>
          <w:lang w:val="en-US"/>
        </w:rPr>
        <w:t xml:space="preserve"> all the individual data points can be found in the companion excel sheet.</w:t>
      </w:r>
      <w:r w:rsidR="006B17AC" w:rsidRPr="00BE6B71">
        <w:rPr>
          <w:lang w:val="en-US"/>
        </w:rPr>
        <w:t xml:space="preserve"> In the following the</w:t>
      </w:r>
      <w:r w:rsidR="00100133" w:rsidRPr="00BE6B71">
        <w:rPr>
          <w:lang w:val="en-US"/>
        </w:rPr>
        <w:t xml:space="preserve"> tremendous</w:t>
      </w:r>
      <w:r w:rsidR="006B17AC" w:rsidRPr="00BE6B71">
        <w:rPr>
          <w:lang w:val="en-US"/>
        </w:rPr>
        <w:t xml:space="preserve"> </w:t>
      </w:r>
      <w:r w:rsidR="00EB2054" w:rsidRPr="00BE6B71">
        <w:rPr>
          <w:lang w:val="en-US"/>
        </w:rPr>
        <w:t>dataset</w:t>
      </w:r>
      <w:r w:rsidR="006B17AC" w:rsidRPr="00BE6B71">
        <w:rPr>
          <w:lang w:val="en-US"/>
        </w:rPr>
        <w:t xml:space="preserve"> is reduced by aggregating the data points of each RB configuration. For thi</w:t>
      </w:r>
      <w:r w:rsidR="00EB2054" w:rsidRPr="00BE6B71">
        <w:rPr>
          <w:lang w:val="en-US"/>
        </w:rPr>
        <w:t xml:space="preserve">s aggregation </w:t>
      </w:r>
      <w:r w:rsidR="006B17AC" w:rsidRPr="00BE6B71">
        <w:rPr>
          <w:lang w:val="en-US"/>
        </w:rPr>
        <w:t xml:space="preserve">the </w:t>
      </w:r>
      <w:proofErr w:type="gramStart"/>
      <w:r w:rsidR="006B17AC" w:rsidRPr="00BE6B71">
        <w:rPr>
          <w:lang w:val="en-US"/>
        </w:rPr>
        <w:t>max(</w:t>
      </w:r>
      <w:proofErr w:type="gramEnd"/>
      <w:r w:rsidR="006B17AC" w:rsidRPr="00BE6B71">
        <w:rPr>
          <w:lang w:val="en-US"/>
        </w:rPr>
        <w:t>) operator is used. As example, if there exist</w:t>
      </w:r>
      <w:r w:rsidR="004D14BA" w:rsidRPr="00BE6B71">
        <w:rPr>
          <w:lang w:val="en-US"/>
        </w:rPr>
        <w:t xml:space="preserve"> four data points for inner allocations with</w:t>
      </w:r>
      <w:r w:rsidR="006B17AC" w:rsidRPr="00BE6B71">
        <w:rPr>
          <w:lang w:val="en-US"/>
        </w:rPr>
        <w:t xml:space="preserve"> 16 RBs </w:t>
      </w:r>
      <w:r w:rsidR="004D14BA" w:rsidRPr="00BE6B71">
        <w:rPr>
          <w:lang w:val="en-US"/>
        </w:rPr>
        <w:t>then the maximum net-gain value is used for further process</w:t>
      </w:r>
      <w:r w:rsidR="00103CC8" w:rsidRPr="00BE6B71">
        <w:rPr>
          <w:lang w:val="en-US"/>
        </w:rPr>
        <w:t>ing</w:t>
      </w:r>
      <w:r w:rsidR="004D14BA" w:rsidRPr="00BE6B71">
        <w:rPr>
          <w:lang w:val="en-US"/>
        </w:rPr>
        <w:t xml:space="preserve">. The reasoning is that a UE vendor would </w:t>
      </w:r>
      <w:r w:rsidR="007D705B" w:rsidRPr="00BE6B71">
        <w:rPr>
          <w:lang w:val="en-US"/>
        </w:rPr>
        <w:t>optimize</w:t>
      </w:r>
      <w:r w:rsidR="004D14BA" w:rsidRPr="00BE6B71">
        <w:rPr>
          <w:lang w:val="en-US"/>
        </w:rPr>
        <w:t xml:space="preserve"> its setup in terms of shaping filter and peak cancelation to achieve optimum net-gain. </w:t>
      </w:r>
      <w:r w:rsidR="00991441" w:rsidRPr="00BE6B71">
        <w:rPr>
          <w:lang w:val="en-US"/>
        </w:rPr>
        <w:t>With this approach the max of the net-gain is collected for inner</w:t>
      </w:r>
      <w:r w:rsidR="00103CC8" w:rsidRPr="00BE6B71">
        <w:rPr>
          <w:lang w:val="en-US"/>
        </w:rPr>
        <w:t xml:space="preserve"> </w:t>
      </w:r>
      <w:r w:rsidR="00991441" w:rsidRPr="00BE6B71">
        <w:rPr>
          <w:lang w:val="en-US"/>
        </w:rPr>
        <w:t>allocations in Table 1</w:t>
      </w:r>
      <w:r w:rsidR="00803756" w:rsidRPr="00BE6B71">
        <w:rPr>
          <w:lang w:val="en-US"/>
        </w:rPr>
        <w:t xml:space="preserve"> and outer allocations in Table 2</w:t>
      </w:r>
      <w:r w:rsidR="00991441" w:rsidRPr="00BE6B71">
        <w:rPr>
          <w:lang w:val="en-US"/>
        </w:rPr>
        <w:t>.</w:t>
      </w:r>
    </w:p>
    <w:p w14:paraId="65FA3EF5" w14:textId="71BD28F5" w:rsidR="002C238E" w:rsidRPr="00BE6B71" w:rsidRDefault="002C238E" w:rsidP="00103CC8">
      <w:pPr>
        <w:tabs>
          <w:tab w:val="left" w:pos="3809"/>
        </w:tabs>
        <w:spacing w:after="60"/>
        <w:jc w:val="center"/>
        <w:rPr>
          <w:lang w:val="en-US"/>
        </w:rPr>
      </w:pPr>
      <w:r w:rsidRPr="00BE6B71">
        <w:rPr>
          <w:lang w:val="en-US"/>
        </w:rPr>
        <w:t>Table 1: Max of Net-Gain - Inner Allocations- Transparent Scheme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B1598D" w:rsidRPr="00BE6B71" w14:paraId="276ABB01"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97D475E"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627AC00"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AFE6772"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CD36C89"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5F7A1CF"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Huawei</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807341A"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766A23D"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B1598D" w:rsidRPr="00BE6B71" w14:paraId="220D38BE"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94DBB9"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DBE1131"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FA63522"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65112E5"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4EC837"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-0.02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C63A478" w14:textId="77777777" w:rsidR="00B1598D" w:rsidRPr="00BE6B71" w:rsidRDefault="00B1598D" w:rsidP="00B1598D">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15A97C2B"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0.00</w:t>
            </w:r>
          </w:p>
        </w:tc>
      </w:tr>
      <w:tr w:rsidR="00B1598D" w:rsidRPr="00BE6B71" w14:paraId="0FDE8F6F"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046908F"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24BF59"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CDADD8"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1.50</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6793229D"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A3D780"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-0.13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28F03A5"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-0.12</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338BA8FC"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0.38</w:t>
            </w:r>
          </w:p>
        </w:tc>
      </w:tr>
      <w:tr w:rsidR="00B1598D" w:rsidRPr="00BE6B71" w14:paraId="5EB44CEC"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315E87"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044CA4"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0.12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D0320"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1.50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6DAA68"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-3.09</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F2F3212"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0A0B1A9" w14:textId="77777777" w:rsidR="00B1598D" w:rsidRPr="00BE6B71" w:rsidRDefault="00B1598D" w:rsidP="00B1598D">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7FCC610E"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0.54</w:t>
            </w:r>
          </w:p>
        </w:tc>
      </w:tr>
      <w:tr w:rsidR="00B1598D" w:rsidRPr="00BE6B71" w14:paraId="4CC09E15" w14:textId="77777777" w:rsidTr="00103CC8">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F7D6DF"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FAFA62"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0.19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64657B"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1.20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95FE65"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-3.14</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D4D32F3"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35A847FB" w14:textId="77777777" w:rsidR="00B1598D" w:rsidRPr="00BE6B71" w:rsidRDefault="00B1598D" w:rsidP="00B1598D">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13DE2866"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0.46</w:t>
            </w:r>
          </w:p>
        </w:tc>
      </w:tr>
      <w:tr w:rsidR="00B1598D" w:rsidRPr="00BE6B71" w14:paraId="21F6F704"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7D5AFB"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8105F"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0.31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8E766"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1.20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21A8F"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-3.68</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991A602"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39A6E32" w14:textId="77777777" w:rsidR="00B1598D" w:rsidRPr="00BE6B71" w:rsidRDefault="00B1598D" w:rsidP="00B1598D">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16825B58"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0.50</w:t>
            </w:r>
          </w:p>
        </w:tc>
      </w:tr>
      <w:tr w:rsidR="00B1598D" w:rsidRPr="00BE6B71" w14:paraId="1020A816"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6F2933"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58C4DB7"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628E2432"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20F6D48" w14:textId="77777777" w:rsidR="00B1598D" w:rsidRPr="00BE6B71" w:rsidRDefault="00B1598D" w:rsidP="00B1598D">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E011D7"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0.64</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3191ECE" w14:textId="77777777" w:rsidR="00B1598D" w:rsidRPr="00BE6B71" w:rsidRDefault="00B1598D" w:rsidP="00B1598D">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35BF8A12"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0.64</w:t>
            </w:r>
          </w:p>
        </w:tc>
      </w:tr>
      <w:tr w:rsidR="00B1598D" w:rsidRPr="00BE6B71" w14:paraId="05F7E06A"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FDD1BC6" w14:textId="77777777" w:rsidR="00B1598D" w:rsidRPr="00BE6B71" w:rsidRDefault="00B1598D" w:rsidP="00B1598D">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7F5537"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F51A76"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0507E4"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-3.65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0CACAA"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-0.14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E48D2BE"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-0.24</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5AC9ACD2" w14:textId="77777777" w:rsidR="00B1598D" w:rsidRPr="00BE6B71" w:rsidRDefault="00B1598D" w:rsidP="00B1598D">
            <w:pPr>
              <w:spacing w:after="0"/>
              <w:rPr>
                <w:sz w:val="24"/>
                <w:szCs w:val="24"/>
                <w:lang w:val="en-US" w:eastAsia="en-GB"/>
              </w:rPr>
            </w:pPr>
            <w:r w:rsidRPr="00BE6B71">
              <w:rPr>
                <w:rFonts w:ascii="Helvetica Neue" w:hAnsi="Helvetica Neue"/>
                <w:color w:val="000000"/>
                <w:sz w:val="15"/>
                <w:szCs w:val="15"/>
                <w:lang w:val="en-US" w:eastAsia="en-GB"/>
              </w:rPr>
              <w:t>0.26</w:t>
            </w:r>
          </w:p>
        </w:tc>
      </w:tr>
    </w:tbl>
    <w:p w14:paraId="614EA328" w14:textId="77777777" w:rsidR="00AE4047" w:rsidRPr="00BE6B71" w:rsidRDefault="00AE4047" w:rsidP="00AE4047">
      <w:pPr>
        <w:rPr>
          <w:lang w:val="en-US"/>
        </w:rPr>
      </w:pPr>
    </w:p>
    <w:p w14:paraId="554496E7" w14:textId="7C955583" w:rsidR="00103CC8" w:rsidRPr="00BE6B71" w:rsidRDefault="00103CC8" w:rsidP="00103CC8">
      <w:pPr>
        <w:tabs>
          <w:tab w:val="left" w:pos="3809"/>
        </w:tabs>
        <w:spacing w:after="60"/>
        <w:jc w:val="center"/>
        <w:rPr>
          <w:lang w:val="en-US"/>
        </w:rPr>
      </w:pPr>
      <w:r w:rsidRPr="00BE6B71">
        <w:rPr>
          <w:lang w:val="en-US"/>
        </w:rPr>
        <w:t xml:space="preserve">Table </w:t>
      </w:r>
      <w:r w:rsidR="001C7809" w:rsidRPr="00BE6B71">
        <w:rPr>
          <w:lang w:val="en-US"/>
        </w:rPr>
        <w:t>2</w:t>
      </w:r>
      <w:r w:rsidRPr="00BE6B71">
        <w:rPr>
          <w:lang w:val="en-US"/>
        </w:rPr>
        <w:t>: Max of Net-Gain - Outer Allocations- Transparent Scheme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103CC8" w:rsidRPr="00BE6B71" w14:paraId="3BF3C750"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B2A75AB"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6F0D1D2"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AE680B"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DA2020"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B0F32F5"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122B7D8"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103CC8" w:rsidRPr="00BE6B71" w14:paraId="111CB55C"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322CD8"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F19B6"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A1A48"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1.00</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28F1AB8" w14:textId="77777777" w:rsidR="00103CC8" w:rsidRPr="00BE6B71" w:rsidRDefault="00103CC8" w:rsidP="00103CC8">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700C129"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0.69</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2FF2435"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1.00</w:t>
            </w:r>
          </w:p>
        </w:tc>
      </w:tr>
      <w:tr w:rsidR="00103CC8" w:rsidRPr="00BE6B71" w14:paraId="0FADE07D"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66556E"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820A0"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1.14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84E6E"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257D32"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-1.87</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1140B997" w14:textId="77777777" w:rsidR="00103CC8" w:rsidRPr="00BE6B71" w:rsidRDefault="00103CC8" w:rsidP="00103CC8">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7B1C81D6"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0.71</w:t>
            </w:r>
          </w:p>
        </w:tc>
      </w:tr>
      <w:tr w:rsidR="00103CC8" w:rsidRPr="00BE6B71" w14:paraId="6D95E7AF"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89C4B3"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4BBDB9" w14:textId="59245570"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w:t>
            </w:r>
            <w:r w:rsidR="006E66DE">
              <w:rPr>
                <w:rFonts w:ascii="Helvetica Neue" w:hAnsi="Helvetica Neue"/>
                <w:color w:val="000000"/>
                <w:sz w:val="15"/>
                <w:szCs w:val="15"/>
                <w:lang w:val="en-US" w:eastAsia="en-GB"/>
              </w:rPr>
              <w:t>47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BA52FA"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E0288"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-2.02</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6F8400B5" w14:textId="77777777" w:rsidR="00103CC8" w:rsidRPr="00BE6B71" w:rsidRDefault="00103CC8" w:rsidP="00103CC8">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361C0FC6" w14:textId="2A51D992"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w:t>
            </w:r>
            <w:r w:rsidR="006E66DE">
              <w:rPr>
                <w:rFonts w:ascii="Helvetica Neue" w:hAnsi="Helvetica Neue"/>
                <w:color w:val="000000"/>
                <w:sz w:val="15"/>
                <w:szCs w:val="15"/>
                <w:lang w:val="en-US" w:eastAsia="en-GB"/>
              </w:rPr>
              <w:t>79</w:t>
            </w:r>
          </w:p>
        </w:tc>
      </w:tr>
      <w:tr w:rsidR="00103CC8" w:rsidRPr="00BE6B71" w14:paraId="339F4DCE" w14:textId="77777777" w:rsidTr="00103CC8">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AE60CBA"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301A1"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1.39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E250F5"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8AE2E"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-2.28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1A4EF933" w14:textId="77777777" w:rsidR="00103CC8" w:rsidRPr="00BE6B71" w:rsidRDefault="00103CC8" w:rsidP="00103CC8">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2BACEE0"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0.76</w:t>
            </w:r>
          </w:p>
        </w:tc>
      </w:tr>
      <w:tr w:rsidR="00103CC8" w:rsidRPr="00BE6B71" w14:paraId="594F4725" w14:textId="77777777" w:rsidTr="00103CC8">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17896EE" w14:textId="77777777" w:rsidR="00103CC8" w:rsidRPr="00BE6B71" w:rsidRDefault="00103CC8" w:rsidP="00103CC8">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2D9B1"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1.42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61BBE"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830F18"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-2.21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AE6DD63"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0.76</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35C81EB8" w14:textId="77777777" w:rsidR="00103CC8" w:rsidRPr="00BE6B71" w:rsidRDefault="00103CC8" w:rsidP="00103CC8">
            <w:pPr>
              <w:spacing w:after="0"/>
              <w:rPr>
                <w:sz w:val="24"/>
                <w:szCs w:val="24"/>
                <w:lang w:val="en-US" w:eastAsia="en-GB"/>
              </w:rPr>
            </w:pPr>
            <w:r w:rsidRPr="00BE6B71">
              <w:rPr>
                <w:rFonts w:ascii="Helvetica Neue" w:hAnsi="Helvetica Neue"/>
                <w:color w:val="000000"/>
                <w:sz w:val="15"/>
                <w:szCs w:val="15"/>
                <w:lang w:val="en-US" w:eastAsia="en-GB"/>
              </w:rPr>
              <w:t>0.67</w:t>
            </w:r>
          </w:p>
        </w:tc>
      </w:tr>
    </w:tbl>
    <w:p w14:paraId="6D2F1BFE" w14:textId="77777777" w:rsidR="00103CC8" w:rsidRPr="00BE6B71" w:rsidRDefault="00103CC8" w:rsidP="00AE4047">
      <w:pPr>
        <w:rPr>
          <w:lang w:val="en-US"/>
        </w:rPr>
      </w:pPr>
    </w:p>
    <w:p w14:paraId="618C75FD" w14:textId="69FB6911" w:rsidR="001C7809" w:rsidRPr="00BE6B71" w:rsidRDefault="007F5CCF" w:rsidP="00707197">
      <w:pPr>
        <w:jc w:val="both"/>
        <w:rPr>
          <w:lang w:val="en-US"/>
        </w:rPr>
      </w:pPr>
      <w:r w:rsidRPr="00BE6B71">
        <w:rPr>
          <w:lang w:val="en-US"/>
        </w:rPr>
        <w:t>Viewing</w:t>
      </w:r>
      <w:r w:rsidR="00395D29" w:rsidRPr="00BE6B71">
        <w:rPr>
          <w:lang w:val="en-US"/>
        </w:rPr>
        <w:t xml:space="preserve"> Table 1 it can be easily observed that there is certain discrepancy between individual company results.  In case of inner allocations Ericsson</w:t>
      </w:r>
      <w:r w:rsidR="00100133" w:rsidRPr="00BE6B71">
        <w:rPr>
          <w:lang w:val="en-US"/>
        </w:rPr>
        <w:t>, Huawei, Nokia and vivo</w:t>
      </w:r>
      <w:r w:rsidR="00395D29" w:rsidRPr="00BE6B71">
        <w:rPr>
          <w:lang w:val="en-US"/>
        </w:rPr>
        <w:t xml:space="preserve"> consistently provide results below 0.5dB with only one exception being 0.64dB. Vivo reports the lowest net-gain overall. Outstanding are the results from Qualcomm as those report up to 1.5dB. Qualcomm results </w:t>
      </w:r>
      <w:r w:rsidR="0035717F" w:rsidRPr="00BE6B71">
        <w:rPr>
          <w:lang w:val="en-US"/>
        </w:rPr>
        <w:t xml:space="preserve">for transparent schemes are obtained by using other peak cancelation techniques which differ from FDSS. </w:t>
      </w:r>
    </w:p>
    <w:p w14:paraId="58A3B3D1" w14:textId="3D9FC0F7" w:rsidR="00ED1FD6" w:rsidRPr="00BE6B71" w:rsidRDefault="00ED1FD6" w:rsidP="00707197">
      <w:pPr>
        <w:jc w:val="both"/>
        <w:rPr>
          <w:lang w:val="en-US"/>
        </w:rPr>
      </w:pPr>
      <w:r w:rsidRPr="00BE6B71">
        <w:rPr>
          <w:b/>
          <w:bCs/>
          <w:lang w:val="en-US"/>
        </w:rPr>
        <w:t>Observation</w:t>
      </w:r>
      <w:r w:rsidR="008F320D" w:rsidRPr="00BE6B71">
        <w:rPr>
          <w:b/>
          <w:bCs/>
          <w:lang w:val="en-US"/>
        </w:rPr>
        <w:t xml:space="preserve"> </w:t>
      </w:r>
      <w:r w:rsidR="003C18F3" w:rsidRPr="00BE6B71">
        <w:rPr>
          <w:b/>
          <w:bCs/>
          <w:lang w:val="en-US"/>
        </w:rPr>
        <w:t>2</w:t>
      </w:r>
      <w:r w:rsidRPr="00BE6B71">
        <w:rPr>
          <w:b/>
          <w:bCs/>
          <w:lang w:val="en-US"/>
        </w:rPr>
        <w:t>:</w:t>
      </w:r>
      <w:r w:rsidRPr="00BE6B71">
        <w:rPr>
          <w:lang w:val="en-US"/>
        </w:rPr>
        <w:t xml:space="preserve"> Outstanding for transparent schemes are the results from Qualcomm as those report up to 1.5dB. Qualcomm results are obtained by using other peak cancelation techniques which differ from FDSS. It seems that transparent schemes other than FDSS should be considered</w:t>
      </w:r>
      <w:r w:rsidR="0043740C" w:rsidRPr="00BE6B71">
        <w:rPr>
          <w:lang w:val="en-US"/>
        </w:rPr>
        <w:t xml:space="preserve"> to find optimum performance</w:t>
      </w:r>
      <w:r w:rsidR="003C18F3" w:rsidRPr="00BE6B71">
        <w:rPr>
          <w:lang w:val="en-US"/>
        </w:rPr>
        <w:t>.</w:t>
      </w:r>
      <w:r w:rsidRPr="00BE6B71">
        <w:rPr>
          <w:lang w:val="en-US"/>
        </w:rPr>
        <w:t xml:space="preserve"> </w:t>
      </w:r>
    </w:p>
    <w:p w14:paraId="464FDA9A" w14:textId="6ACA7A48" w:rsidR="0054312E" w:rsidRPr="00BE6B71" w:rsidRDefault="0054312E" w:rsidP="00707197">
      <w:pPr>
        <w:jc w:val="both"/>
        <w:rPr>
          <w:lang w:val="en-US"/>
        </w:rPr>
      </w:pPr>
      <w:r w:rsidRPr="00BE6B71">
        <w:rPr>
          <w:lang w:val="en-US"/>
        </w:rPr>
        <w:t>When observing Table 2 it can be concluded that outer allocations have good power boosting potential in general with using FDSS or other peak cancelation techniques for transparent deployment</w:t>
      </w:r>
      <w:r w:rsidR="00A22B5E" w:rsidRPr="00BE6B71">
        <w:rPr>
          <w:lang w:val="en-US"/>
        </w:rPr>
        <w:t xml:space="preserve">. </w:t>
      </w:r>
      <w:r w:rsidR="00301792" w:rsidRPr="00BE6B71">
        <w:rPr>
          <w:lang w:val="en-US"/>
        </w:rPr>
        <w:t>Data from v</w:t>
      </w:r>
      <w:r w:rsidR="00A22B5E" w:rsidRPr="00BE6B71">
        <w:rPr>
          <w:lang w:val="en-US"/>
        </w:rPr>
        <w:t>ivo is an exception as the net-gain is</w:t>
      </w:r>
      <w:r w:rsidR="007D705B" w:rsidRPr="00BE6B71">
        <w:rPr>
          <w:lang w:val="en-US"/>
        </w:rPr>
        <w:t xml:space="preserve"> strongly</w:t>
      </w:r>
      <w:r w:rsidR="00A22B5E" w:rsidRPr="00BE6B71">
        <w:rPr>
          <w:lang w:val="en-US"/>
        </w:rPr>
        <w:t xml:space="preserve"> negative.</w:t>
      </w:r>
      <w:r w:rsidR="00384862" w:rsidRPr="00BE6B71">
        <w:rPr>
          <w:lang w:val="en-US"/>
        </w:rPr>
        <w:t xml:space="preserve"> </w:t>
      </w:r>
    </w:p>
    <w:p w14:paraId="2D9AD916" w14:textId="4ECC034C" w:rsidR="00384862" w:rsidRPr="00BE6B71" w:rsidRDefault="00384862" w:rsidP="00707197">
      <w:pPr>
        <w:jc w:val="both"/>
        <w:rPr>
          <w:lang w:val="en-US"/>
        </w:rPr>
      </w:pPr>
      <w:r w:rsidRPr="00BE6B71">
        <w:rPr>
          <w:lang w:val="en-US"/>
        </w:rPr>
        <w:lastRenderedPageBreak/>
        <w:t xml:space="preserve">The average is calculated by summation of all results and dividing through the </w:t>
      </w:r>
      <w:r w:rsidR="00696D02" w:rsidRPr="00BE6B71">
        <w:rPr>
          <w:lang w:val="en-US"/>
        </w:rPr>
        <w:t>number</w:t>
      </w:r>
      <w:r w:rsidRPr="00BE6B71">
        <w:rPr>
          <w:lang w:val="en-US"/>
        </w:rPr>
        <w:t xml:space="preserve"> of companies which provided results for the specific RB configuration. In case negative net-gain is reported then the value is replaced by zero in the summation.</w:t>
      </w:r>
      <w:r w:rsidR="00EA5B0D" w:rsidRPr="00BE6B71">
        <w:rPr>
          <w:lang w:val="en-US"/>
        </w:rPr>
        <w:t xml:space="preserve"> The reasoning is that the optimum net-gain for transparent techniques is obtained by optimizing the shaping filter or using other sophisticated peak cancelation techniques.</w:t>
      </w:r>
      <w:r w:rsidR="00E84BCB" w:rsidRPr="00BE6B71">
        <w:rPr>
          <w:lang w:val="en-US"/>
        </w:rPr>
        <w:t xml:space="preserve"> In case of shaping filter, a UE vendor would explore different filter types (</w:t>
      </w:r>
      <w:proofErr w:type="gramStart"/>
      <w:r w:rsidR="00E84BCB" w:rsidRPr="00BE6B71">
        <w:rPr>
          <w:lang w:val="en-US"/>
        </w:rPr>
        <w:t>e.g.</w:t>
      </w:r>
      <w:proofErr w:type="gramEnd"/>
      <w:r w:rsidR="00E84BCB" w:rsidRPr="00BE6B71">
        <w:rPr>
          <w:lang w:val="en-US"/>
        </w:rPr>
        <w:t xml:space="preserve"> 2-tap, 3-tap, </w:t>
      </w:r>
      <w:proofErr w:type="spellStart"/>
      <w:r w:rsidR="00E84BCB" w:rsidRPr="00BE6B71">
        <w:rPr>
          <w:lang w:val="en-US"/>
        </w:rPr>
        <w:t>tRCC</w:t>
      </w:r>
      <w:proofErr w:type="spellEnd"/>
      <w:r w:rsidR="00E84BCB" w:rsidRPr="00BE6B71">
        <w:rPr>
          <w:lang w:val="en-US"/>
        </w:rPr>
        <w:t xml:space="preserve">) and also optimize </w:t>
      </w:r>
      <w:r w:rsidR="00194E12" w:rsidRPr="00BE6B71">
        <w:rPr>
          <w:lang w:val="en-US"/>
        </w:rPr>
        <w:t>its coefficients</w:t>
      </w:r>
      <w:r w:rsidR="00E84BCB" w:rsidRPr="00BE6B71">
        <w:rPr>
          <w:lang w:val="en-US"/>
        </w:rPr>
        <w:t xml:space="preserve">. The filter choice is important as strong filter such as [0.335 1 0.335] can introduce large EVM distortion. If strong filter result in </w:t>
      </w:r>
      <w:r w:rsidR="00BA62D4" w:rsidRPr="00BE6B71">
        <w:rPr>
          <w:lang w:val="en-US"/>
        </w:rPr>
        <w:t xml:space="preserve">a </w:t>
      </w:r>
      <w:r w:rsidR="00E84BCB" w:rsidRPr="00BE6B71">
        <w:rPr>
          <w:lang w:val="en-US"/>
        </w:rPr>
        <w:t>negative net-</w:t>
      </w:r>
      <w:proofErr w:type="gramStart"/>
      <w:r w:rsidR="00E84BCB" w:rsidRPr="00BE6B71">
        <w:rPr>
          <w:lang w:val="en-US"/>
        </w:rPr>
        <w:t>gain</w:t>
      </w:r>
      <w:proofErr w:type="gramEnd"/>
      <w:r w:rsidR="00E84BCB" w:rsidRPr="00BE6B71">
        <w:rPr>
          <w:lang w:val="en-US"/>
        </w:rPr>
        <w:t xml:space="preserve"> then lighter filter (such as [0.17 1 0.17]) might be</w:t>
      </w:r>
      <w:r w:rsidR="000F05FD" w:rsidRPr="00BE6B71">
        <w:rPr>
          <w:lang w:val="en-US"/>
        </w:rPr>
        <w:t xml:space="preserve"> a</w:t>
      </w:r>
      <w:r w:rsidR="00E84BCB" w:rsidRPr="00BE6B71">
        <w:rPr>
          <w:lang w:val="en-US"/>
        </w:rPr>
        <w:t xml:space="preserve"> better choice. Even if </w:t>
      </w:r>
      <w:r w:rsidR="000F05FD" w:rsidRPr="00BE6B71">
        <w:rPr>
          <w:lang w:val="en-US"/>
        </w:rPr>
        <w:t xml:space="preserve">a </w:t>
      </w:r>
      <w:r w:rsidR="00E84BCB" w:rsidRPr="00BE6B71">
        <w:rPr>
          <w:lang w:val="en-US"/>
        </w:rPr>
        <w:t xml:space="preserve">light filter would </w:t>
      </w:r>
      <w:r w:rsidR="00BA62D4" w:rsidRPr="00BE6B71">
        <w:rPr>
          <w:lang w:val="en-US"/>
        </w:rPr>
        <w:t xml:space="preserve">also </w:t>
      </w:r>
      <w:r w:rsidR="00E84BCB" w:rsidRPr="00BE6B71">
        <w:rPr>
          <w:lang w:val="en-US"/>
        </w:rPr>
        <w:t xml:space="preserve">result in negative net-gain the last resort would be to do nothing by </w:t>
      </w:r>
      <w:r w:rsidR="000F05FD" w:rsidRPr="00BE6B71">
        <w:rPr>
          <w:lang w:val="en-US"/>
        </w:rPr>
        <w:t xml:space="preserve">simply </w:t>
      </w:r>
      <w:r w:rsidR="00E84BCB" w:rsidRPr="00BE6B71">
        <w:rPr>
          <w:lang w:val="en-US"/>
        </w:rPr>
        <w:t xml:space="preserve">deploying </w:t>
      </w:r>
      <w:r w:rsidR="000F05FD" w:rsidRPr="00BE6B71">
        <w:rPr>
          <w:lang w:val="en-US"/>
        </w:rPr>
        <w:t>a</w:t>
      </w:r>
      <w:r w:rsidR="00E84BCB" w:rsidRPr="00BE6B71">
        <w:rPr>
          <w:lang w:val="en-US"/>
        </w:rPr>
        <w:t xml:space="preserve"> </w:t>
      </w:r>
      <w:r w:rsidR="002E1E3C" w:rsidRPr="00BE6B71">
        <w:rPr>
          <w:lang w:val="en-US"/>
        </w:rPr>
        <w:t>one-tab</w:t>
      </w:r>
      <w:r w:rsidR="00E84BCB" w:rsidRPr="00BE6B71">
        <w:rPr>
          <w:lang w:val="en-US"/>
        </w:rPr>
        <w:t xml:space="preserve"> filter with union energy.</w:t>
      </w:r>
      <w:r w:rsidR="00BA62D4" w:rsidRPr="00BE6B71">
        <w:rPr>
          <w:lang w:val="en-US"/>
        </w:rPr>
        <w:t xml:space="preserve"> </w:t>
      </w:r>
      <w:r w:rsidR="008231E9" w:rsidRPr="00BE6B71">
        <w:rPr>
          <w:lang w:val="en-US"/>
        </w:rPr>
        <w:t>This would result into baseline performance with a net-gain of zero.</w:t>
      </w:r>
      <w:r w:rsidR="00F27A5F" w:rsidRPr="00BE6B71">
        <w:rPr>
          <w:lang w:val="en-US"/>
        </w:rPr>
        <w:t xml:space="preserve"> </w:t>
      </w:r>
      <w:r w:rsidR="00E3159C" w:rsidRPr="00BE6B71">
        <w:rPr>
          <w:lang w:val="en-US"/>
        </w:rPr>
        <w:t>Ano</w:t>
      </w:r>
      <w:r w:rsidR="00F27A5F" w:rsidRPr="00BE6B71">
        <w:rPr>
          <w:lang w:val="en-US"/>
        </w:rPr>
        <w:t>ther option would be to utilize different peak cancelation techniques.</w:t>
      </w:r>
      <w:r w:rsidR="00E84BCB" w:rsidRPr="00BE6B71">
        <w:rPr>
          <w:lang w:val="en-US"/>
        </w:rPr>
        <w:t xml:space="preserve"> Therefore,</w:t>
      </w:r>
      <w:r w:rsidR="000F05FD" w:rsidRPr="00BE6B71">
        <w:rPr>
          <w:lang w:val="en-US"/>
        </w:rPr>
        <w:t xml:space="preserve"> </w:t>
      </w:r>
      <w:r w:rsidR="00E84BCB" w:rsidRPr="00BE6B71">
        <w:rPr>
          <w:lang w:val="en-US"/>
        </w:rPr>
        <w:t xml:space="preserve">the net-gain of transparent techniques </w:t>
      </w:r>
      <w:r w:rsidR="000F05FD" w:rsidRPr="00BE6B71">
        <w:rPr>
          <w:lang w:val="en-US"/>
        </w:rPr>
        <w:t>can never</w:t>
      </w:r>
      <w:r w:rsidR="00E84BCB" w:rsidRPr="00BE6B71">
        <w:rPr>
          <w:lang w:val="en-US"/>
        </w:rPr>
        <w:t xml:space="preserve"> </w:t>
      </w:r>
      <w:r w:rsidR="000F05FD" w:rsidRPr="00BE6B71">
        <w:rPr>
          <w:lang w:val="en-US"/>
        </w:rPr>
        <w:t>fall below</w:t>
      </w:r>
      <w:r w:rsidR="00E84BCB" w:rsidRPr="00BE6B71">
        <w:rPr>
          <w:lang w:val="en-US"/>
        </w:rPr>
        <w:t xml:space="preserve"> zero if optimization is done</w:t>
      </w:r>
      <w:r w:rsidR="000F05FD" w:rsidRPr="00BE6B71">
        <w:rPr>
          <w:lang w:val="en-US"/>
        </w:rPr>
        <w:t xml:space="preserve"> by considering all options</w:t>
      </w:r>
      <w:r w:rsidR="00E84BCB" w:rsidRPr="00BE6B71">
        <w:rPr>
          <w:lang w:val="en-US"/>
        </w:rPr>
        <w:t>. In worst case the net-gain</w:t>
      </w:r>
      <w:r w:rsidR="008834F4" w:rsidRPr="00BE6B71">
        <w:rPr>
          <w:lang w:val="en-US"/>
        </w:rPr>
        <w:t xml:space="preserve"> for transparent schemes</w:t>
      </w:r>
      <w:r w:rsidR="00E84BCB" w:rsidRPr="00BE6B71">
        <w:rPr>
          <w:lang w:val="en-US"/>
        </w:rPr>
        <w:t xml:space="preserve"> can only approach zero.</w:t>
      </w:r>
      <w:r w:rsidR="002E1E3C" w:rsidRPr="00BE6B71">
        <w:rPr>
          <w:lang w:val="en-US"/>
        </w:rPr>
        <w:t xml:space="preserve"> </w:t>
      </w:r>
    </w:p>
    <w:p w14:paraId="6E2D6B4D" w14:textId="60018882" w:rsidR="00495C2C" w:rsidRPr="00BE6B71" w:rsidRDefault="00495C2C" w:rsidP="00707197">
      <w:pPr>
        <w:jc w:val="both"/>
        <w:rPr>
          <w:b/>
          <w:bCs/>
          <w:lang w:val="en-US"/>
        </w:rPr>
      </w:pPr>
      <w:r w:rsidRPr="00BE6B71">
        <w:rPr>
          <w:b/>
          <w:bCs/>
          <w:lang w:val="en-US"/>
        </w:rPr>
        <w:t>Observation</w:t>
      </w:r>
      <w:r w:rsidR="00493346" w:rsidRPr="00BE6B71">
        <w:rPr>
          <w:b/>
          <w:bCs/>
          <w:lang w:val="en-US"/>
        </w:rPr>
        <w:t xml:space="preserve"> </w:t>
      </w:r>
      <w:r w:rsidR="003C18F3" w:rsidRPr="00BE6B71">
        <w:rPr>
          <w:b/>
          <w:bCs/>
          <w:lang w:val="en-US"/>
        </w:rPr>
        <w:t>3</w:t>
      </w:r>
      <w:r w:rsidRPr="00BE6B71">
        <w:rPr>
          <w:b/>
          <w:bCs/>
          <w:lang w:val="en-US"/>
        </w:rPr>
        <w:t xml:space="preserve">: </w:t>
      </w:r>
      <w:r w:rsidRPr="00BE6B71">
        <w:rPr>
          <w:lang w:val="en-US"/>
        </w:rPr>
        <w:t xml:space="preserve">The net-gain of transparent techniques can never fall below zero if optimization is done by considering all options. </w:t>
      </w:r>
      <w:r w:rsidR="009E76B7" w:rsidRPr="00BE6B71">
        <w:rPr>
          <w:lang w:val="en-US"/>
        </w:rPr>
        <w:t>The</w:t>
      </w:r>
      <w:r w:rsidRPr="00BE6B71">
        <w:rPr>
          <w:lang w:val="en-US"/>
        </w:rPr>
        <w:t xml:space="preserve"> worst case </w:t>
      </w:r>
      <w:r w:rsidR="009E76B7" w:rsidRPr="00BE6B71">
        <w:rPr>
          <w:lang w:val="en-US"/>
        </w:rPr>
        <w:t>for the</w:t>
      </w:r>
      <w:r w:rsidRPr="00BE6B71">
        <w:rPr>
          <w:lang w:val="en-US"/>
        </w:rPr>
        <w:t xml:space="preserve"> net-gain </w:t>
      </w:r>
      <w:r w:rsidR="009E76B7" w:rsidRPr="00BE6B71">
        <w:rPr>
          <w:lang w:val="en-US"/>
        </w:rPr>
        <w:t>is that it</w:t>
      </w:r>
      <w:r w:rsidRPr="00BE6B71">
        <w:rPr>
          <w:lang w:val="en-US"/>
        </w:rPr>
        <w:t xml:space="preserve"> approach</w:t>
      </w:r>
      <w:r w:rsidR="009E76B7" w:rsidRPr="00BE6B71">
        <w:rPr>
          <w:lang w:val="en-US"/>
        </w:rPr>
        <w:t>es</w:t>
      </w:r>
      <w:r w:rsidRPr="00BE6B71">
        <w:rPr>
          <w:lang w:val="en-US"/>
        </w:rPr>
        <w:t xml:space="preserve"> zero. </w:t>
      </w:r>
    </w:p>
    <w:p w14:paraId="52B3F792" w14:textId="6E46C956" w:rsidR="00E3366C" w:rsidRPr="00BE6B71" w:rsidRDefault="00E3366C" w:rsidP="00707197">
      <w:pPr>
        <w:jc w:val="both"/>
        <w:rPr>
          <w:lang w:val="en-US"/>
        </w:rPr>
      </w:pPr>
      <w:r w:rsidRPr="00BE6B71">
        <w:rPr>
          <w:lang w:val="en-US"/>
        </w:rPr>
        <w:t>Next</w:t>
      </w:r>
      <w:r w:rsidR="0008110D" w:rsidRPr="00BE6B71">
        <w:rPr>
          <w:lang w:val="en-US"/>
        </w:rPr>
        <w:t xml:space="preserve"> the net-gain of FDSS with spectrum extension is analyzed. The Table 3 and Table 4 contain the results for inner and outer allocations. The same approach as for transparent techniques is used by using the </w:t>
      </w:r>
      <w:proofErr w:type="gramStart"/>
      <w:r w:rsidR="0008110D" w:rsidRPr="00BE6B71">
        <w:rPr>
          <w:lang w:val="en-US"/>
        </w:rPr>
        <w:t>max(</w:t>
      </w:r>
      <w:proofErr w:type="gramEnd"/>
      <w:r w:rsidR="0008110D" w:rsidRPr="00BE6B71">
        <w:rPr>
          <w:lang w:val="en-US"/>
        </w:rPr>
        <w:t>) operator to condense the multitude of data points.</w:t>
      </w:r>
      <w:r w:rsidR="004F6998" w:rsidRPr="00BE6B71">
        <w:rPr>
          <w:lang w:val="en-US"/>
        </w:rPr>
        <w:t xml:space="preserve"> </w:t>
      </w:r>
      <w:proofErr w:type="gramStart"/>
      <w:r w:rsidR="005771DA" w:rsidRPr="00BE6B71">
        <w:rPr>
          <w:lang w:val="en-US"/>
        </w:rPr>
        <w:t>The majority of</w:t>
      </w:r>
      <w:proofErr w:type="gramEnd"/>
      <w:r w:rsidR="005771DA" w:rsidRPr="00BE6B71">
        <w:rPr>
          <w:lang w:val="en-US"/>
        </w:rPr>
        <w:t xml:space="preserve"> companies results show that there is positive net-gain for FDSS-SE. Those results consistently indicate</w:t>
      </w:r>
      <w:r w:rsidR="004F6998" w:rsidRPr="00BE6B71">
        <w:rPr>
          <w:lang w:val="en-US"/>
        </w:rPr>
        <w:t xml:space="preserve"> gains in the range of 1 to 2dB dependent on the RB configuration.</w:t>
      </w:r>
      <w:r w:rsidR="005771DA" w:rsidRPr="00BE6B71">
        <w:rPr>
          <w:lang w:val="en-US"/>
        </w:rPr>
        <w:t xml:space="preserve"> </w:t>
      </w:r>
    </w:p>
    <w:p w14:paraId="375228AB" w14:textId="4DBF846F" w:rsidR="001C7809" w:rsidRPr="00BE6B71" w:rsidRDefault="001C7809" w:rsidP="001C7809">
      <w:pPr>
        <w:tabs>
          <w:tab w:val="left" w:pos="3809"/>
        </w:tabs>
        <w:spacing w:after="60"/>
        <w:jc w:val="center"/>
        <w:rPr>
          <w:lang w:val="en-US"/>
        </w:rPr>
      </w:pPr>
      <w:r w:rsidRPr="00BE6B71">
        <w:rPr>
          <w:lang w:val="en-US"/>
        </w:rPr>
        <w:t xml:space="preserve">Table 3: </w:t>
      </w:r>
      <w:r w:rsidR="00E3366C" w:rsidRPr="00BE6B71">
        <w:rPr>
          <w:lang w:val="en-US"/>
        </w:rPr>
        <w:t>Max of Net-Gain: Inner Allocations- FDSS-SE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486C56" w:rsidRPr="00BE6B71" w14:paraId="15799F55"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737C58D"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1A29ECC"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B2B33A"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0929DF9"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3C3347F"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Huawei</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2C1BA37"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D118DCC"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486C56" w:rsidRPr="00BE6B71" w14:paraId="3A4CEAA0"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E239A5"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2CA70DF"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B58CD4A"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8C86528"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DD6EC6"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1.56</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BEF6118"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96CB44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1.56</w:t>
            </w:r>
          </w:p>
        </w:tc>
      </w:tr>
      <w:tr w:rsidR="00486C56" w:rsidRPr="00BE6B71" w14:paraId="4E2FE6D4"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D1C601"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5F1F4"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0.47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3FCC19"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5A63B"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72CC1"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1.43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578CC3C0"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-0.21</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E3E7C35"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0.89</w:t>
            </w:r>
          </w:p>
        </w:tc>
      </w:tr>
      <w:tr w:rsidR="00486C56" w:rsidRPr="00BE6B71" w14:paraId="306B7ACD"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B72A3C"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DC03C1"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88F9A6"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1.30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E3CEE"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0.71</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FD45852"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04CFDCE"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4B1B4A3"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0.84</w:t>
            </w:r>
          </w:p>
        </w:tc>
      </w:tr>
      <w:tr w:rsidR="00486C56" w:rsidRPr="00BE6B71" w14:paraId="1A43F24D" w14:textId="77777777" w:rsidTr="00486C56">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52DD0C"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6CF4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0.69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7AC04B"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2.10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2FCD80" w14:textId="36D28121" w:rsidR="00486C56" w:rsidRPr="00BE6B71" w:rsidRDefault="00312269" w:rsidP="00486C56">
            <w:pPr>
              <w:spacing w:after="0"/>
              <w:rPr>
                <w:sz w:val="24"/>
                <w:szCs w:val="24"/>
                <w:lang w:val="en-US" w:eastAsia="en-GB"/>
              </w:rPr>
            </w:pPr>
            <w:r>
              <w:rPr>
                <w:rFonts w:ascii="Helvetica Neue" w:hAnsi="Helvetica Neue"/>
                <w:color w:val="000000"/>
                <w:sz w:val="15"/>
                <w:szCs w:val="15"/>
                <w:lang w:val="en-US" w:eastAsia="en-GB"/>
              </w:rPr>
              <w:t>0.97</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72EB4937"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764B924"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7E1F8526" w14:textId="67FAA49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w:t>
            </w:r>
            <w:r w:rsidR="00312269">
              <w:rPr>
                <w:rFonts w:ascii="Helvetica Neue" w:hAnsi="Helvetica Neue"/>
                <w:color w:val="000000"/>
                <w:sz w:val="15"/>
                <w:szCs w:val="15"/>
                <w:lang w:val="en-US" w:eastAsia="en-GB"/>
              </w:rPr>
              <w:t>25</w:t>
            </w:r>
          </w:p>
        </w:tc>
      </w:tr>
      <w:tr w:rsidR="00486C56" w:rsidRPr="00BE6B71" w14:paraId="66202BD7"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BB3323D"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B25D3"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0.83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06FD6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34F60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1.88</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CCFEDB9"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FDF90FF"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ECA68B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1.24</w:t>
            </w:r>
          </w:p>
        </w:tc>
      </w:tr>
      <w:tr w:rsidR="00486C56" w:rsidRPr="00BE6B71" w14:paraId="66D44F43"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B3EBE94"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1222E0D"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74D6CFC"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05AC53B"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D3F6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1.13</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F870E04"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B318BFD"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1.13</w:t>
            </w:r>
          </w:p>
        </w:tc>
      </w:tr>
      <w:tr w:rsidR="00486C56" w:rsidRPr="00BE6B71" w14:paraId="32208712"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F19BF9"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9891B"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0.96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0DAF25"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04EC38"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E6E8A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1.84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C780D02"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0.14</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6497E45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1.03</w:t>
            </w:r>
          </w:p>
        </w:tc>
      </w:tr>
    </w:tbl>
    <w:p w14:paraId="0B8A40E7" w14:textId="77777777" w:rsidR="001C7809" w:rsidRPr="00BE6B71" w:rsidRDefault="001C7809" w:rsidP="00AE4047">
      <w:pPr>
        <w:rPr>
          <w:lang w:val="en-US"/>
        </w:rPr>
      </w:pPr>
    </w:p>
    <w:p w14:paraId="0093D3EE" w14:textId="54F01F0C" w:rsidR="00103CC8" w:rsidRPr="00BE6B71" w:rsidRDefault="001C7809" w:rsidP="001C7809">
      <w:pPr>
        <w:spacing w:after="60"/>
        <w:jc w:val="center"/>
        <w:rPr>
          <w:lang w:val="en-US"/>
        </w:rPr>
      </w:pPr>
      <w:r w:rsidRPr="00BE6B71">
        <w:rPr>
          <w:lang w:val="en-US"/>
        </w:rPr>
        <w:t>Table 4: Max of Net-Gain: Outer Allocations- FDSS-SE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1C7809" w:rsidRPr="00BE6B71" w14:paraId="44891871" w14:textId="77777777" w:rsidTr="001C780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99ED3D7"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D31D08C"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B1A64D9"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9BB870"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6FF9833"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067EAB95"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1C7809" w:rsidRPr="00BE6B71" w14:paraId="5E94566F" w14:textId="77777777" w:rsidTr="001C780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7B926C"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AD1E3D"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1.46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DDE4D"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62F81"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2.07</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D892156"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1.12</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0D09FEF"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1.54</w:t>
            </w:r>
          </w:p>
        </w:tc>
      </w:tr>
      <w:tr w:rsidR="001C7809" w:rsidRPr="00BE6B71" w14:paraId="5C89B13F" w14:textId="77777777" w:rsidTr="001C780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BC4CC85"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6FAB5"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1.05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2CDD48"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1B95E"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-0.13</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6DA13D6A" w14:textId="77777777" w:rsidR="001C7809" w:rsidRPr="00BE6B71" w:rsidRDefault="001C7809" w:rsidP="001C7809">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DBDFC6C"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0.72</w:t>
            </w:r>
          </w:p>
        </w:tc>
      </w:tr>
      <w:tr w:rsidR="001C7809" w:rsidRPr="00BE6B71" w14:paraId="39C0400D" w14:textId="77777777" w:rsidTr="001C780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9619AF3"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226AF"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2.07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2C936"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BDFAF4"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1.82</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0E51306B" w14:textId="77777777" w:rsidR="001C7809" w:rsidRPr="00BE6B71" w:rsidRDefault="001C7809" w:rsidP="001C7809">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BBB412D"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1.93</w:t>
            </w:r>
          </w:p>
        </w:tc>
      </w:tr>
      <w:tr w:rsidR="001C7809" w:rsidRPr="00BE6B71" w14:paraId="32FF4C32" w14:textId="77777777" w:rsidTr="001C7809">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66115C"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4B9B6"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1.52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532F1"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C00764"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1.48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53E857E0" w14:textId="77777777" w:rsidR="001C7809" w:rsidRPr="00BE6B71" w:rsidRDefault="001C7809" w:rsidP="001C7809">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13801055"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1.30</w:t>
            </w:r>
          </w:p>
        </w:tc>
      </w:tr>
      <w:tr w:rsidR="001C7809" w:rsidRPr="00BE6B71" w14:paraId="61E943B8" w14:textId="77777777" w:rsidTr="001C7809">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1AE04D" w14:textId="77777777" w:rsidR="001C7809" w:rsidRPr="00BE6B71" w:rsidRDefault="001C7809" w:rsidP="001C7809">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1B9E0D"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2.01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8B156B"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1.30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624B"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EE4A879"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1.65</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751FD989" w14:textId="77777777" w:rsidR="001C7809" w:rsidRPr="00BE6B71" w:rsidRDefault="001C7809" w:rsidP="001C7809">
            <w:pPr>
              <w:spacing w:after="0"/>
              <w:rPr>
                <w:sz w:val="24"/>
                <w:szCs w:val="24"/>
                <w:lang w:val="en-US" w:eastAsia="en-GB"/>
              </w:rPr>
            </w:pPr>
            <w:r w:rsidRPr="00BE6B71">
              <w:rPr>
                <w:rFonts w:ascii="Helvetica Neue" w:hAnsi="Helvetica Neue"/>
                <w:color w:val="000000"/>
                <w:sz w:val="15"/>
                <w:szCs w:val="15"/>
                <w:lang w:val="en-US" w:eastAsia="en-GB"/>
              </w:rPr>
              <w:t>1.52</w:t>
            </w:r>
          </w:p>
        </w:tc>
      </w:tr>
    </w:tbl>
    <w:p w14:paraId="6D147093" w14:textId="77777777" w:rsidR="001C7809" w:rsidRPr="00BE6B71" w:rsidRDefault="001C7809" w:rsidP="00AE4047">
      <w:pPr>
        <w:rPr>
          <w:lang w:val="en-US"/>
        </w:rPr>
      </w:pPr>
    </w:p>
    <w:p w14:paraId="3940918B" w14:textId="1C6B1648" w:rsidR="00257B39" w:rsidRPr="00BE6B71" w:rsidRDefault="00EC0B1B" w:rsidP="00AE4047">
      <w:pPr>
        <w:rPr>
          <w:lang w:val="en-US"/>
        </w:rPr>
      </w:pPr>
      <w:r w:rsidRPr="00BE6B71">
        <w:rPr>
          <w:lang w:val="en-US"/>
        </w:rPr>
        <w:t>The next step is to compare the net-gain of transparent techniques with the net-gain from FDSS-SE.</w:t>
      </w:r>
      <w:r w:rsidR="001B21FB" w:rsidRPr="00BE6B71">
        <w:rPr>
          <w:lang w:val="en-US"/>
        </w:rPr>
        <w:t xml:space="preserve"> The comparison is achieved by using ‘delta net-gain’ as metric. The delta net-gain is calculated as follows:</w:t>
      </w:r>
    </w:p>
    <w:p w14:paraId="7122C355" w14:textId="3A61617C" w:rsidR="002E498B" w:rsidRPr="00BE6B71" w:rsidRDefault="002E498B" w:rsidP="002E498B">
      <w:pPr>
        <w:jc w:val="center"/>
        <w:rPr>
          <w:lang w:val="en-US"/>
        </w:rPr>
      </w:pPr>
      <w:r w:rsidRPr="00BE6B71">
        <w:rPr>
          <w:lang w:val="en-US"/>
        </w:rPr>
        <w:t>Delta Net-Gain = Net-</w:t>
      </w:r>
      <w:proofErr w:type="gramStart"/>
      <w:r w:rsidRPr="00BE6B71">
        <w:rPr>
          <w:lang w:val="en-US"/>
        </w:rPr>
        <w:t>Gain(</w:t>
      </w:r>
      <w:proofErr w:type="gramEnd"/>
      <w:r w:rsidRPr="00BE6B71">
        <w:rPr>
          <w:lang w:val="en-US"/>
        </w:rPr>
        <w:t>FDSS-SE) – max(Net-Gain(transparent), 0)</w:t>
      </w:r>
    </w:p>
    <w:p w14:paraId="3973BD2E" w14:textId="6D3A7A5F" w:rsidR="001B21FB" w:rsidRPr="00BE6B71" w:rsidRDefault="002B44FD" w:rsidP="00AE4047">
      <w:pPr>
        <w:rPr>
          <w:lang w:val="en-US"/>
        </w:rPr>
      </w:pPr>
      <w:r w:rsidRPr="00BE6B71">
        <w:rPr>
          <w:lang w:val="en-US"/>
        </w:rPr>
        <w:t xml:space="preserve">The delta net-gain is calculated by considering the FDSS-SE gain and subtracting the gain from transparent techniques. The </w:t>
      </w:r>
      <w:proofErr w:type="gramStart"/>
      <w:r w:rsidRPr="00BE6B71">
        <w:rPr>
          <w:lang w:val="en-US"/>
        </w:rPr>
        <w:t>max(</w:t>
      </w:r>
      <w:proofErr w:type="gramEnd"/>
      <w:r w:rsidRPr="00BE6B71">
        <w:rPr>
          <w:lang w:val="en-US"/>
        </w:rPr>
        <w:t>) operator is deployed as some net-gain results are negative. As explained above</w:t>
      </w:r>
      <w:r w:rsidR="002D66F7" w:rsidRPr="00BE6B71">
        <w:rPr>
          <w:lang w:val="en-US"/>
        </w:rPr>
        <w:t>,</w:t>
      </w:r>
      <w:r w:rsidRPr="00BE6B71">
        <w:rPr>
          <w:lang w:val="en-US"/>
        </w:rPr>
        <w:t xml:space="preserve"> the net-gain for transparent </w:t>
      </w:r>
      <w:r w:rsidR="009550FF" w:rsidRPr="00BE6B71">
        <w:rPr>
          <w:lang w:val="en-US"/>
        </w:rPr>
        <w:t>schemes</w:t>
      </w:r>
      <w:r w:rsidRPr="00BE6B71">
        <w:rPr>
          <w:lang w:val="en-US"/>
        </w:rPr>
        <w:t xml:space="preserve"> cannot </w:t>
      </w:r>
      <w:r w:rsidR="00843845" w:rsidRPr="00BE6B71">
        <w:rPr>
          <w:lang w:val="en-US"/>
        </w:rPr>
        <w:t>become</w:t>
      </w:r>
      <w:r w:rsidRPr="00BE6B71">
        <w:rPr>
          <w:lang w:val="en-US"/>
        </w:rPr>
        <w:t xml:space="preserve"> negative if properly optimized. The lowest</w:t>
      </w:r>
      <w:r w:rsidR="009550FF" w:rsidRPr="00BE6B71">
        <w:rPr>
          <w:lang w:val="en-US"/>
        </w:rPr>
        <w:t xml:space="preserve"> value for</w:t>
      </w:r>
      <w:r w:rsidRPr="00BE6B71">
        <w:rPr>
          <w:lang w:val="en-US"/>
        </w:rPr>
        <w:t xml:space="preserve"> net-gain</w:t>
      </w:r>
      <w:r w:rsidR="009550FF" w:rsidRPr="00BE6B71">
        <w:rPr>
          <w:lang w:val="en-US"/>
        </w:rPr>
        <w:t xml:space="preserve"> of transparent schemes</w:t>
      </w:r>
      <w:r w:rsidRPr="00BE6B71">
        <w:rPr>
          <w:lang w:val="en-US"/>
        </w:rPr>
        <w:t xml:space="preserve"> can only be zero</w:t>
      </w:r>
      <w:r w:rsidR="009550FF" w:rsidRPr="00BE6B71">
        <w:rPr>
          <w:lang w:val="en-US"/>
        </w:rPr>
        <w:t>.</w:t>
      </w:r>
      <w:r w:rsidR="00FC7243" w:rsidRPr="00BE6B71">
        <w:rPr>
          <w:lang w:val="en-US"/>
        </w:rPr>
        <w:t xml:space="preserve"> </w:t>
      </w:r>
      <w:r w:rsidR="00FE51A3" w:rsidRPr="00BE6B71">
        <w:rPr>
          <w:lang w:val="en-US"/>
        </w:rPr>
        <w:t>As consequence</w:t>
      </w:r>
      <w:r w:rsidR="00FC7243" w:rsidRPr="00BE6B71">
        <w:rPr>
          <w:lang w:val="en-US"/>
        </w:rPr>
        <w:t xml:space="preserve"> the delta net-gain equation limits the transparent net-gain to</w:t>
      </w:r>
      <w:r w:rsidR="00FA7305" w:rsidRPr="00BE6B71">
        <w:rPr>
          <w:lang w:val="en-US"/>
        </w:rPr>
        <w:t xml:space="preserve"> a minimum of zero</w:t>
      </w:r>
      <w:r w:rsidR="00FE51A3" w:rsidRPr="00BE6B71">
        <w:rPr>
          <w:lang w:val="en-US"/>
        </w:rPr>
        <w:t xml:space="preserve"> </w:t>
      </w:r>
      <w:r w:rsidR="00E73C58" w:rsidRPr="00BE6B71">
        <w:rPr>
          <w:lang w:val="en-US"/>
        </w:rPr>
        <w:t>and</w:t>
      </w:r>
      <w:r w:rsidR="00FE51A3" w:rsidRPr="00BE6B71">
        <w:rPr>
          <w:lang w:val="en-US"/>
        </w:rPr>
        <w:t xml:space="preserve"> prevent</w:t>
      </w:r>
      <w:r w:rsidR="00E73C58" w:rsidRPr="00BE6B71">
        <w:rPr>
          <w:lang w:val="en-US"/>
        </w:rPr>
        <w:t>s</w:t>
      </w:r>
      <w:r w:rsidR="00FE51A3" w:rsidRPr="00BE6B71">
        <w:rPr>
          <w:lang w:val="en-US"/>
        </w:rPr>
        <w:t xml:space="preserve"> an overestimation </w:t>
      </w:r>
      <w:r w:rsidR="00DC30D1" w:rsidRPr="00BE6B71">
        <w:rPr>
          <w:lang w:val="en-US"/>
        </w:rPr>
        <w:t>of</w:t>
      </w:r>
      <w:r w:rsidR="00FE51A3" w:rsidRPr="00BE6B71">
        <w:rPr>
          <w:lang w:val="en-US"/>
        </w:rPr>
        <w:t xml:space="preserve"> non-transparent schemes.</w:t>
      </w:r>
    </w:p>
    <w:p w14:paraId="418C9C71" w14:textId="5CAE31E5" w:rsidR="00E73C58" w:rsidRPr="00BE6B71" w:rsidRDefault="00E73C58" w:rsidP="00DB3D29">
      <w:pPr>
        <w:jc w:val="both"/>
        <w:rPr>
          <w:lang w:val="en-US"/>
        </w:rPr>
      </w:pPr>
      <w:r w:rsidRPr="00BE6B71">
        <w:rPr>
          <w:lang w:val="en-US"/>
        </w:rPr>
        <w:t>Table 5 and Table 6 present the delta net-gain of inner and outer allocations.</w:t>
      </w:r>
      <w:r w:rsidR="00DB3D29" w:rsidRPr="00BE6B71">
        <w:rPr>
          <w:lang w:val="en-US"/>
        </w:rPr>
        <w:t xml:space="preserve"> Please note that there is no transparent result for inner and outer values with 8RBs from vivo but there are results for FDSS-SE. For calculating delta net-gain the transparent gain was simply set to zero for this specific case.</w:t>
      </w:r>
      <w:r w:rsidR="00C96D28" w:rsidRPr="00BE6B71">
        <w:rPr>
          <w:lang w:val="en-US"/>
        </w:rPr>
        <w:t xml:space="preserve"> The average is calculated by summation of individual values and dividing by the number of contributing companies.</w:t>
      </w:r>
      <w:r w:rsidR="00813802" w:rsidRPr="00BE6B71">
        <w:rPr>
          <w:lang w:val="en-US"/>
        </w:rPr>
        <w:t xml:space="preserve"> </w:t>
      </w:r>
    </w:p>
    <w:p w14:paraId="01A975DF" w14:textId="43871459" w:rsidR="00721036" w:rsidRPr="00BE6B71" w:rsidRDefault="00721036" w:rsidP="00721036">
      <w:pPr>
        <w:tabs>
          <w:tab w:val="left" w:pos="3809"/>
        </w:tabs>
        <w:spacing w:after="60"/>
        <w:jc w:val="center"/>
        <w:rPr>
          <w:lang w:val="en-US"/>
        </w:rPr>
      </w:pPr>
      <w:r w:rsidRPr="00BE6B71">
        <w:rPr>
          <w:lang w:val="en-US"/>
        </w:rPr>
        <w:t>Table 5: Delta Net-Gain - Inner Allocations (comparison between FDSS-SE and TS)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35"/>
        <w:gridCol w:w="1320"/>
      </w:tblGrid>
      <w:tr w:rsidR="00486C56" w:rsidRPr="00BE6B71" w14:paraId="5DED44EE"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49039BF"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lastRenderedPageBreak/>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C0449F4"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B95C8E5"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C48B5F5"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C795DC1"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Huawei</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070EA895"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8660C28"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486C56" w:rsidRPr="00BE6B71" w14:paraId="7A0763B5"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7A359A"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67384D"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E7B66A"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B4DF58C"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1CB36"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1.56</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436D97CE"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5E6594B9"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1.56</w:t>
            </w:r>
          </w:p>
        </w:tc>
      </w:tr>
      <w:tr w:rsidR="00486C56" w:rsidRPr="00BE6B71" w14:paraId="28FB672A"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889032E"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4BA8E5"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B20F8"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CCAC0"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1.04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0AD695"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1.43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1DD6D9C3"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-0.21</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566CDA31"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0.54</w:t>
            </w:r>
          </w:p>
        </w:tc>
      </w:tr>
      <w:tr w:rsidR="00486C56" w:rsidRPr="00BE6B71" w14:paraId="4FE19F8B"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FB1762C"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0F4D80"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0.38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1D0755"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AF2DEF"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0.71</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81EC97"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A5E0A42"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04BC8908"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0.30</w:t>
            </w:r>
          </w:p>
        </w:tc>
      </w:tr>
      <w:tr w:rsidR="00486C56" w:rsidRPr="00BE6B71" w14:paraId="7D4E6926" w14:textId="77777777" w:rsidTr="00486C56">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B274B6"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341C18"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26A47B"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0.90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80BB6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1.88</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A24B84"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F37CC68"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1AA9C099" w14:textId="0E083B3D"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w:t>
            </w:r>
            <w:r w:rsidR="00312269">
              <w:rPr>
                <w:rFonts w:ascii="Helvetica Neue" w:hAnsi="Helvetica Neue"/>
                <w:color w:val="000000"/>
                <w:sz w:val="15"/>
                <w:szCs w:val="15"/>
                <w:lang w:val="en-US" w:eastAsia="en-GB"/>
              </w:rPr>
              <w:t>.79</w:t>
            </w:r>
          </w:p>
        </w:tc>
      </w:tr>
      <w:tr w:rsidR="00486C56" w:rsidRPr="00BE6B71" w14:paraId="2ACBE97C"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24C027"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80FE"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0.52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1D6E89"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-0.20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264494"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1.88</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21AE31"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72247221"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B3B3E24"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0.73</w:t>
            </w:r>
          </w:p>
        </w:tc>
      </w:tr>
      <w:tr w:rsidR="00486C56" w:rsidRPr="00BE6B71" w14:paraId="7DFD244A"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BC8FE01"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36</w:t>
            </w: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C562E7"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76FF92E"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B73B91" w14:textId="77777777" w:rsidR="00486C56" w:rsidRPr="00BE6B71" w:rsidRDefault="00486C56" w:rsidP="00486C56">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50C0F"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0.49</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6A5C61E1" w14:textId="77777777" w:rsidR="00486C56" w:rsidRPr="00BE6B71" w:rsidRDefault="00486C56" w:rsidP="00486C5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523EB0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0.49</w:t>
            </w:r>
          </w:p>
        </w:tc>
      </w:tr>
      <w:tr w:rsidR="00486C56" w:rsidRPr="00BE6B71" w14:paraId="7A7BF480" w14:textId="77777777" w:rsidTr="00486C5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6631AD" w14:textId="77777777" w:rsidR="00486C56" w:rsidRPr="00BE6B71" w:rsidRDefault="00486C56" w:rsidP="00486C56">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CB15C"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0.63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E578"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C1EA3"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B0183A"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1.84</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69E27B7"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0.14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7C664542" w14:textId="77777777" w:rsidR="00486C56" w:rsidRPr="00BE6B71" w:rsidRDefault="00486C56" w:rsidP="00486C56">
            <w:pPr>
              <w:spacing w:after="0"/>
              <w:rPr>
                <w:sz w:val="24"/>
                <w:szCs w:val="24"/>
                <w:lang w:val="en-US" w:eastAsia="en-GB"/>
              </w:rPr>
            </w:pPr>
            <w:r w:rsidRPr="00BE6B71">
              <w:rPr>
                <w:rFonts w:ascii="Helvetica Neue" w:hAnsi="Helvetica Neue"/>
                <w:color w:val="000000"/>
                <w:sz w:val="15"/>
                <w:szCs w:val="15"/>
                <w:lang w:val="en-US" w:eastAsia="en-GB"/>
              </w:rPr>
              <w:t>0.77</w:t>
            </w:r>
          </w:p>
        </w:tc>
      </w:tr>
    </w:tbl>
    <w:p w14:paraId="11235665" w14:textId="77777777" w:rsidR="00721036" w:rsidRPr="00BE6B71" w:rsidRDefault="00721036" w:rsidP="00AE4047">
      <w:pPr>
        <w:rPr>
          <w:lang w:val="en-US"/>
        </w:rPr>
      </w:pPr>
    </w:p>
    <w:p w14:paraId="2003E26E" w14:textId="30247A51" w:rsidR="00721036" w:rsidRPr="00BE6B71" w:rsidRDefault="00721036" w:rsidP="00721036">
      <w:pPr>
        <w:tabs>
          <w:tab w:val="left" w:pos="3809"/>
        </w:tabs>
        <w:spacing w:after="60"/>
        <w:jc w:val="center"/>
        <w:rPr>
          <w:lang w:val="en-US"/>
        </w:rPr>
      </w:pPr>
      <w:r w:rsidRPr="00BE6B71">
        <w:rPr>
          <w:lang w:val="en-US"/>
        </w:rPr>
        <w:t>Table 6: Delta Net-Gain - Outer Allocations (comparison between FDSS-SE and TS)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35"/>
        <w:gridCol w:w="1320"/>
      </w:tblGrid>
      <w:tr w:rsidR="00721036" w:rsidRPr="00BE6B71" w14:paraId="4DD9CBFA" w14:textId="77777777" w:rsidTr="0072103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6FD3227"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A79EAEA"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23610D0"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Qualcomm</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F2FD46D"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8F543C5"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435C52A"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721036" w:rsidRPr="00BE6B71" w14:paraId="1273E927" w14:textId="77777777" w:rsidTr="0072103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730911"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FA372"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0.14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E372F"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0.50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B80010"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2.07</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0AE70E34"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0.43</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5D1890B2" w14:textId="14C435CE"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w:t>
            </w:r>
            <w:r w:rsidR="00457B37" w:rsidRPr="00BE6B71">
              <w:rPr>
                <w:rFonts w:ascii="Helvetica Neue" w:hAnsi="Helvetica Neue"/>
                <w:color w:val="000000"/>
                <w:sz w:val="15"/>
                <w:szCs w:val="15"/>
                <w:lang w:val="en-US" w:eastAsia="en-GB"/>
              </w:rPr>
              <w:t>78</w:t>
            </w:r>
          </w:p>
        </w:tc>
      </w:tr>
      <w:tr w:rsidR="00721036" w:rsidRPr="00BE6B71" w14:paraId="20D8092B" w14:textId="77777777" w:rsidTr="0072103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C44853"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1752C0"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-0.09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E44E0"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0.10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516E6"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-0.13</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30BC4102" w14:textId="77777777" w:rsidR="00721036" w:rsidRPr="00BE6B71" w:rsidRDefault="00721036" w:rsidP="0072103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116C032"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-0.04</w:t>
            </w:r>
          </w:p>
        </w:tc>
      </w:tr>
      <w:tr w:rsidR="00721036" w:rsidRPr="00BE6B71" w14:paraId="5672B5B6" w14:textId="77777777" w:rsidTr="0072103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AE489A5"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813C4F" w14:textId="2F3A4391"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w:t>
            </w:r>
            <w:r w:rsidR="006E66DE">
              <w:rPr>
                <w:rFonts w:ascii="Helvetica Neue" w:hAnsi="Helvetica Neue"/>
                <w:color w:val="000000"/>
                <w:sz w:val="15"/>
                <w:szCs w:val="15"/>
                <w:lang w:val="en-US" w:eastAsia="en-GB"/>
              </w:rPr>
              <w:t>59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F3737A"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1.00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1BB74"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1.82</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09A12A75" w14:textId="77777777" w:rsidR="00721036" w:rsidRPr="00BE6B71" w:rsidRDefault="00721036" w:rsidP="0072103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06E691C4" w14:textId="735506FB"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1.</w:t>
            </w:r>
            <w:r w:rsidR="006E66DE">
              <w:rPr>
                <w:rFonts w:ascii="Helvetica Neue" w:hAnsi="Helvetica Neue"/>
                <w:color w:val="000000"/>
                <w:sz w:val="15"/>
                <w:szCs w:val="15"/>
                <w:lang w:val="en-US" w:eastAsia="en-GB"/>
              </w:rPr>
              <w:t>14</w:t>
            </w:r>
          </w:p>
        </w:tc>
      </w:tr>
      <w:tr w:rsidR="00721036" w:rsidRPr="00BE6B71" w14:paraId="105BC1E9" w14:textId="77777777" w:rsidTr="00721036">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B1F916"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AD7F09"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0.13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EF3F09"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51E9AE"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1.48</w:t>
            </w:r>
          </w:p>
        </w:tc>
        <w:tc>
          <w:tcPr>
            <w:tcW w:w="1335" w:type="dxa"/>
            <w:tcBorders>
              <w:top w:val="single" w:sz="6" w:space="0" w:color="000000"/>
              <w:left w:val="single" w:sz="6" w:space="0" w:color="000000"/>
              <w:bottom w:val="single" w:sz="6" w:space="0" w:color="000000"/>
              <w:right w:val="single" w:sz="12" w:space="0" w:color="000000"/>
            </w:tcBorders>
            <w:shd w:val="clear" w:color="auto" w:fill="D4D4D4"/>
            <w:tcMar>
              <w:top w:w="60" w:type="dxa"/>
              <w:left w:w="60" w:type="dxa"/>
              <w:bottom w:w="60" w:type="dxa"/>
              <w:right w:w="60" w:type="dxa"/>
            </w:tcMar>
            <w:hideMark/>
          </w:tcPr>
          <w:p w14:paraId="037E6E8A" w14:textId="77777777" w:rsidR="00721036" w:rsidRPr="00BE6B71" w:rsidRDefault="00721036" w:rsidP="00721036">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24634BB2"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0.54</w:t>
            </w:r>
          </w:p>
        </w:tc>
      </w:tr>
      <w:tr w:rsidR="00721036" w:rsidRPr="00BE6B71" w14:paraId="59F9C3AD" w14:textId="77777777" w:rsidTr="00721036">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2ABDBF" w14:textId="77777777" w:rsidR="00721036" w:rsidRPr="00BE6B71" w:rsidRDefault="00721036" w:rsidP="00721036">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BE0169"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0.58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8D564"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2F124E"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1.12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52DDFDEC"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0.89</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29631A6E" w14:textId="77777777" w:rsidR="00721036" w:rsidRPr="00BE6B71" w:rsidRDefault="00721036" w:rsidP="00721036">
            <w:pPr>
              <w:spacing w:after="0"/>
              <w:rPr>
                <w:sz w:val="24"/>
                <w:szCs w:val="24"/>
                <w:lang w:val="en-US" w:eastAsia="en-GB"/>
              </w:rPr>
            </w:pPr>
            <w:r w:rsidRPr="00BE6B71">
              <w:rPr>
                <w:rFonts w:ascii="Helvetica Neue" w:hAnsi="Helvetica Neue"/>
                <w:color w:val="000000"/>
                <w:sz w:val="15"/>
                <w:szCs w:val="15"/>
                <w:lang w:val="en-US" w:eastAsia="en-GB"/>
              </w:rPr>
              <w:t>0.85</w:t>
            </w:r>
          </w:p>
        </w:tc>
      </w:tr>
    </w:tbl>
    <w:p w14:paraId="62B24619" w14:textId="77777777" w:rsidR="00721036" w:rsidRPr="00BE6B71" w:rsidRDefault="00721036" w:rsidP="00AE4047">
      <w:pPr>
        <w:rPr>
          <w:lang w:val="en-US"/>
        </w:rPr>
      </w:pPr>
    </w:p>
    <w:p w14:paraId="4BB143DC" w14:textId="7A264144" w:rsidR="00721036" w:rsidRPr="00BE6B71" w:rsidRDefault="005771DA" w:rsidP="0014470E">
      <w:pPr>
        <w:jc w:val="both"/>
        <w:rPr>
          <w:lang w:val="en-US"/>
        </w:rPr>
      </w:pPr>
      <w:r w:rsidRPr="00BE6B71">
        <w:rPr>
          <w:lang w:val="en-US"/>
        </w:rPr>
        <w:t>The delta net-gain</w:t>
      </w:r>
      <w:r w:rsidR="00386D90" w:rsidRPr="00BE6B71">
        <w:rPr>
          <w:lang w:val="en-US"/>
        </w:rPr>
        <w:t xml:space="preserve"> value</w:t>
      </w:r>
      <w:r w:rsidRPr="00BE6B71">
        <w:rPr>
          <w:lang w:val="en-US"/>
        </w:rPr>
        <w:t xml:space="preserve"> is majorly positive for the different RB allocations. </w:t>
      </w:r>
      <w:r w:rsidR="00386D90" w:rsidRPr="00BE6B71">
        <w:rPr>
          <w:lang w:val="en-US"/>
        </w:rPr>
        <w:t xml:space="preserve">For inner allocations </w:t>
      </w:r>
      <w:r w:rsidRPr="00BE6B71">
        <w:rPr>
          <w:lang w:val="en-US"/>
        </w:rPr>
        <w:t>Qualcomm</w:t>
      </w:r>
      <w:r w:rsidR="00386D90" w:rsidRPr="00BE6B71">
        <w:rPr>
          <w:lang w:val="en-US"/>
        </w:rPr>
        <w:t xml:space="preserve"> and Ericsson</w:t>
      </w:r>
      <w:r w:rsidRPr="00BE6B71">
        <w:rPr>
          <w:lang w:val="en-US"/>
        </w:rPr>
        <w:t xml:space="preserve"> results </w:t>
      </w:r>
      <w:r w:rsidR="00386D90" w:rsidRPr="00BE6B71">
        <w:rPr>
          <w:lang w:val="en-US"/>
        </w:rPr>
        <w:t>show</w:t>
      </w:r>
      <w:r w:rsidRPr="00BE6B71">
        <w:rPr>
          <w:lang w:val="en-US"/>
        </w:rPr>
        <w:t xml:space="preserve"> the lowe</w:t>
      </w:r>
      <w:r w:rsidR="00CF4C3E" w:rsidRPr="00BE6B71">
        <w:rPr>
          <w:lang w:val="en-US"/>
        </w:rPr>
        <w:t>st</w:t>
      </w:r>
      <w:r w:rsidRPr="00BE6B71">
        <w:rPr>
          <w:lang w:val="en-US"/>
        </w:rPr>
        <w:t xml:space="preserve"> delta</w:t>
      </w:r>
      <w:r w:rsidR="00386D90" w:rsidRPr="00BE6B71">
        <w:rPr>
          <w:lang w:val="en-US"/>
        </w:rPr>
        <w:t>. In case of Qualcomm this is the consequence of</w:t>
      </w:r>
      <w:r w:rsidRPr="00BE6B71">
        <w:rPr>
          <w:lang w:val="en-US"/>
        </w:rPr>
        <w:t xml:space="preserve"> the transparent scheme already </w:t>
      </w:r>
      <w:r w:rsidR="008A61E4" w:rsidRPr="00BE6B71">
        <w:rPr>
          <w:lang w:val="en-US"/>
        </w:rPr>
        <w:t>showing</w:t>
      </w:r>
      <w:r w:rsidRPr="00BE6B71">
        <w:rPr>
          <w:lang w:val="en-US"/>
        </w:rPr>
        <w:t xml:space="preserve"> good net-gain results. </w:t>
      </w:r>
      <w:r w:rsidR="00DC1E78" w:rsidRPr="00BE6B71">
        <w:rPr>
          <w:lang w:val="en-US"/>
        </w:rPr>
        <w:t xml:space="preserve">The average </w:t>
      </w:r>
      <w:r w:rsidR="002D66F7" w:rsidRPr="00BE6B71">
        <w:rPr>
          <w:lang w:val="en-US"/>
        </w:rPr>
        <w:t>‘</w:t>
      </w:r>
      <w:r w:rsidR="00DC1E78" w:rsidRPr="00BE6B71">
        <w:rPr>
          <w:lang w:val="en-US"/>
        </w:rPr>
        <w:t>delta net-gain</w:t>
      </w:r>
      <w:r w:rsidR="002D66F7" w:rsidRPr="00BE6B71">
        <w:rPr>
          <w:lang w:val="en-US"/>
        </w:rPr>
        <w:t>’</w:t>
      </w:r>
      <w:r w:rsidR="00DC1E78" w:rsidRPr="00BE6B71">
        <w:rPr>
          <w:lang w:val="en-US"/>
        </w:rPr>
        <w:t xml:space="preserve"> </w:t>
      </w:r>
      <w:r w:rsidR="002D66F7" w:rsidRPr="00BE6B71">
        <w:rPr>
          <w:lang w:val="en-US"/>
        </w:rPr>
        <w:t>across</w:t>
      </w:r>
      <w:r w:rsidR="00DC1E78" w:rsidRPr="00BE6B71">
        <w:rPr>
          <w:lang w:val="en-US"/>
        </w:rPr>
        <w:t xml:space="preserve"> all </w:t>
      </w:r>
      <w:r w:rsidR="00642873" w:rsidRPr="00BE6B71">
        <w:rPr>
          <w:lang w:val="en-US"/>
        </w:rPr>
        <w:t>analyzed</w:t>
      </w:r>
      <w:r w:rsidR="00715742" w:rsidRPr="00BE6B71">
        <w:rPr>
          <w:lang w:val="en-US"/>
        </w:rPr>
        <w:t xml:space="preserve"> </w:t>
      </w:r>
      <w:r w:rsidR="00DC1E78" w:rsidRPr="00BE6B71">
        <w:rPr>
          <w:lang w:val="en-US"/>
        </w:rPr>
        <w:t xml:space="preserve">RB allocations is approximately </w:t>
      </w:r>
      <w:r w:rsidR="006A5FDA" w:rsidRPr="00BE6B71">
        <w:rPr>
          <w:lang w:val="en-US"/>
        </w:rPr>
        <w:t>0.</w:t>
      </w:r>
      <w:r w:rsidR="006A47AF">
        <w:rPr>
          <w:lang w:val="en-US"/>
        </w:rPr>
        <w:t>78</w:t>
      </w:r>
      <w:r w:rsidR="00DC1E78" w:rsidRPr="00BE6B71">
        <w:rPr>
          <w:lang w:val="en-US"/>
        </w:rPr>
        <w:t xml:space="preserve">dB. For outer allocations the average </w:t>
      </w:r>
      <w:r w:rsidR="002D66F7" w:rsidRPr="00BE6B71">
        <w:rPr>
          <w:lang w:val="en-US"/>
        </w:rPr>
        <w:t xml:space="preserve">across </w:t>
      </w:r>
      <w:r w:rsidR="00DC1E78" w:rsidRPr="00BE6B71">
        <w:rPr>
          <w:lang w:val="en-US"/>
        </w:rPr>
        <w:t>all RB allocations is approximately 0.</w:t>
      </w:r>
      <w:r w:rsidR="006A47AF">
        <w:rPr>
          <w:lang w:val="en-US"/>
        </w:rPr>
        <w:t>65</w:t>
      </w:r>
      <w:r w:rsidR="00DC1E78" w:rsidRPr="00BE6B71">
        <w:rPr>
          <w:lang w:val="en-US"/>
        </w:rPr>
        <w:t xml:space="preserve">dB. </w:t>
      </w:r>
    </w:p>
    <w:p w14:paraId="4A6ABF41" w14:textId="3F3A6386" w:rsidR="00E84FC4" w:rsidRPr="00BE6B71" w:rsidRDefault="00E84FC4" w:rsidP="0014470E">
      <w:pPr>
        <w:jc w:val="both"/>
        <w:rPr>
          <w:lang w:val="en-US"/>
        </w:rPr>
      </w:pPr>
      <w:r w:rsidRPr="00BE6B71">
        <w:rPr>
          <w:b/>
          <w:bCs/>
          <w:lang w:val="en-US"/>
        </w:rPr>
        <w:t>Observation 4:</w:t>
      </w:r>
      <w:r w:rsidRPr="00BE6B71">
        <w:rPr>
          <w:lang w:val="en-US"/>
        </w:rPr>
        <w:t xml:space="preserve"> The average advantage of FDSS-SE versus transparent </w:t>
      </w:r>
      <w:r w:rsidR="007E2028" w:rsidRPr="00BE6B71">
        <w:rPr>
          <w:lang w:val="en-US"/>
        </w:rPr>
        <w:t>techniques</w:t>
      </w:r>
      <w:r w:rsidRPr="00BE6B71">
        <w:rPr>
          <w:lang w:val="en-US"/>
        </w:rPr>
        <w:t xml:space="preserve"> </w:t>
      </w:r>
      <w:r w:rsidR="002D66F7" w:rsidRPr="00BE6B71">
        <w:rPr>
          <w:lang w:val="en-US"/>
        </w:rPr>
        <w:t xml:space="preserve">across </w:t>
      </w:r>
      <w:r w:rsidRPr="00BE6B71">
        <w:rPr>
          <w:lang w:val="en-US"/>
        </w:rPr>
        <w:t>all</w:t>
      </w:r>
      <w:r w:rsidR="00715742" w:rsidRPr="00BE6B71">
        <w:rPr>
          <w:lang w:val="en-US"/>
        </w:rPr>
        <w:t xml:space="preserve"> analyzed</w:t>
      </w:r>
      <w:r w:rsidRPr="00BE6B71">
        <w:rPr>
          <w:lang w:val="en-US"/>
        </w:rPr>
        <w:t xml:space="preserve"> RB allocations is approximately </w:t>
      </w:r>
      <w:r w:rsidR="006A5FDA" w:rsidRPr="00BE6B71">
        <w:rPr>
          <w:lang w:val="en-US"/>
        </w:rPr>
        <w:t>0.</w:t>
      </w:r>
      <w:r w:rsidR="00642873">
        <w:rPr>
          <w:lang w:val="en-US"/>
        </w:rPr>
        <w:t>74</w:t>
      </w:r>
      <w:r w:rsidRPr="00BE6B71">
        <w:rPr>
          <w:lang w:val="en-US"/>
        </w:rPr>
        <w:t xml:space="preserve">dB. For outer allocations the average </w:t>
      </w:r>
      <w:r w:rsidR="00776A3D" w:rsidRPr="00BE6B71">
        <w:rPr>
          <w:lang w:val="en-US"/>
        </w:rPr>
        <w:t xml:space="preserve">advantage </w:t>
      </w:r>
      <w:r w:rsidRPr="00BE6B71">
        <w:rPr>
          <w:lang w:val="en-US"/>
        </w:rPr>
        <w:t>is approximately 0.</w:t>
      </w:r>
      <w:r w:rsidR="00642873">
        <w:rPr>
          <w:lang w:val="en-US"/>
        </w:rPr>
        <w:t>65</w:t>
      </w:r>
      <w:r w:rsidRPr="00BE6B71">
        <w:rPr>
          <w:lang w:val="en-US"/>
        </w:rPr>
        <w:t>dB.</w:t>
      </w:r>
      <w:r w:rsidR="00715742" w:rsidRPr="00BE6B71">
        <w:rPr>
          <w:lang w:val="en-US"/>
        </w:rPr>
        <w:t xml:space="preserve"> The largest RB allocation</w:t>
      </w:r>
      <w:r w:rsidR="004676AD" w:rsidRPr="00BE6B71">
        <w:rPr>
          <w:lang w:val="en-US"/>
        </w:rPr>
        <w:t xml:space="preserve"> size</w:t>
      </w:r>
      <w:r w:rsidR="00715742" w:rsidRPr="00BE6B71">
        <w:rPr>
          <w:lang w:val="en-US"/>
        </w:rPr>
        <w:t xml:space="preserve"> </w:t>
      </w:r>
      <w:r w:rsidR="000F4B54" w:rsidRPr="00BE6B71">
        <w:rPr>
          <w:lang w:val="en-US"/>
        </w:rPr>
        <w:t xml:space="preserve">consists of </w:t>
      </w:r>
      <w:r w:rsidR="00715742" w:rsidRPr="00BE6B71">
        <w:rPr>
          <w:lang w:val="en-US"/>
        </w:rPr>
        <w:t>40 RBs.</w:t>
      </w:r>
    </w:p>
    <w:p w14:paraId="67152487" w14:textId="39285B83" w:rsidR="0007069A" w:rsidRPr="00BE6B71" w:rsidRDefault="003F6AAB" w:rsidP="000F59A9">
      <w:pPr>
        <w:jc w:val="both"/>
        <w:rPr>
          <w:lang w:val="en-US"/>
        </w:rPr>
      </w:pPr>
      <w:r w:rsidRPr="00BE6B71">
        <w:rPr>
          <w:lang w:val="en-US"/>
        </w:rPr>
        <w:t xml:space="preserve">Qualcomm results are interesting as those indicate that by using </w:t>
      </w:r>
      <w:r w:rsidR="00411989" w:rsidRPr="00BE6B71">
        <w:rPr>
          <w:lang w:val="en-US"/>
        </w:rPr>
        <w:t>advanced</w:t>
      </w:r>
      <w:r w:rsidRPr="00BE6B71">
        <w:rPr>
          <w:lang w:val="en-US"/>
        </w:rPr>
        <w:t xml:space="preserve"> peak cancelation techniques the net-gain for transparent schemes can be considerably higher than what is achievable with FDSS.</w:t>
      </w:r>
      <w:r w:rsidR="0007069A" w:rsidRPr="00BE6B71">
        <w:rPr>
          <w:lang w:val="en-US"/>
        </w:rPr>
        <w:t xml:space="preserve"> Transparent techniques have the advantage that those are far simpler to be implemented. Impact on baseband processing is lower. Also, the optimization effort during implementation is reduced. With transparent techniques a UE vendor has only to consider the amount of RBs and their location for finding an optimum setup. In case of non-transparent techniques such as FDSS-SE the UE vendor must additionally consider the extension factor</w:t>
      </w:r>
      <w:r w:rsidR="00D12F4D" w:rsidRPr="00BE6B71">
        <w:rPr>
          <w:lang w:val="en-US"/>
        </w:rPr>
        <w:t xml:space="preserve"> and the adapted MCS</w:t>
      </w:r>
      <w:r w:rsidR="0007069A" w:rsidRPr="00BE6B71">
        <w:rPr>
          <w:lang w:val="en-US"/>
        </w:rPr>
        <w:t xml:space="preserve">. The extension factor introduces another dimension which needs to be </w:t>
      </w:r>
      <w:r w:rsidR="00BD270C" w:rsidRPr="00BE6B71">
        <w:rPr>
          <w:lang w:val="en-US"/>
        </w:rPr>
        <w:t>handled</w:t>
      </w:r>
      <w:r w:rsidR="0007069A" w:rsidRPr="00BE6B71">
        <w:rPr>
          <w:lang w:val="en-US"/>
        </w:rPr>
        <w:t xml:space="preserve"> when optimizing the net-gain. </w:t>
      </w:r>
      <w:r w:rsidR="000B6290" w:rsidRPr="00BE6B71">
        <w:rPr>
          <w:lang w:val="en-US"/>
        </w:rPr>
        <w:t>The various data needs to be stored in the UE with large tables creating additional costs as more memory is required.</w:t>
      </w:r>
      <w:r w:rsidR="003A2C7B" w:rsidRPr="00BE6B71">
        <w:rPr>
          <w:lang w:val="en-US"/>
        </w:rPr>
        <w:t xml:space="preserve"> Considering the low advantage of FDSS-SE versus existing transparent schemes it is proposed to </w:t>
      </w:r>
      <w:r w:rsidR="000F59A9" w:rsidRPr="00BE6B71">
        <w:rPr>
          <w:lang w:val="en-US"/>
        </w:rPr>
        <w:t>lay the</w:t>
      </w:r>
      <w:r w:rsidR="003A2C7B" w:rsidRPr="00BE6B71">
        <w:rPr>
          <w:lang w:val="en-US"/>
        </w:rPr>
        <w:t xml:space="preserve"> focus on optimizing transparent techniques.</w:t>
      </w:r>
    </w:p>
    <w:p w14:paraId="6CE38E2D" w14:textId="063E3B5E" w:rsidR="00E84FC4" w:rsidRPr="00BE6B71" w:rsidRDefault="00E84FC4" w:rsidP="000F59A9">
      <w:pPr>
        <w:jc w:val="both"/>
        <w:rPr>
          <w:lang w:val="en-US"/>
        </w:rPr>
      </w:pPr>
      <w:r w:rsidRPr="00BE6B71">
        <w:rPr>
          <w:b/>
          <w:bCs/>
          <w:lang w:val="en-US"/>
        </w:rPr>
        <w:t xml:space="preserve">Observation </w:t>
      </w:r>
      <w:r w:rsidR="007E2028" w:rsidRPr="00BE6B71">
        <w:rPr>
          <w:b/>
          <w:bCs/>
          <w:lang w:val="en-US"/>
        </w:rPr>
        <w:t>5</w:t>
      </w:r>
      <w:r w:rsidRPr="00BE6B71">
        <w:rPr>
          <w:b/>
          <w:bCs/>
          <w:lang w:val="en-US"/>
        </w:rPr>
        <w:t>:</w:t>
      </w:r>
      <w:r w:rsidR="007E2028" w:rsidRPr="00BE6B71">
        <w:rPr>
          <w:lang w:val="en-US"/>
        </w:rPr>
        <w:t xml:space="preserve"> Transparent techniques have the advantage that those are far simpler to be implemented. Impact on baseband processing is lower. Also, the optimization effort during implementation is reduced. With transparent techniques a UE vendor has only to consider the amount of RBs and their location for finding an optimum setup. In case of non-transparent techniques such as FDSS-SE the UE vendor must additionally consider the extension factor</w:t>
      </w:r>
      <w:r w:rsidR="00D12F4D" w:rsidRPr="00BE6B71">
        <w:rPr>
          <w:lang w:val="en-US"/>
        </w:rPr>
        <w:t xml:space="preserve"> and the adapted MCS</w:t>
      </w:r>
      <w:r w:rsidR="007E2028" w:rsidRPr="00BE6B71">
        <w:rPr>
          <w:lang w:val="en-US"/>
        </w:rPr>
        <w:t>. The extension factor introduces another dimension which needs to be handled when optimizing the net-gain. The various data needs to be stored in the UE with large tables creating additional costs as more memory is required.</w:t>
      </w:r>
    </w:p>
    <w:p w14:paraId="4A031916" w14:textId="7972BDF6" w:rsidR="007E2028" w:rsidRPr="00BE6B71" w:rsidRDefault="007E2028" w:rsidP="000F59A9">
      <w:pPr>
        <w:jc w:val="both"/>
        <w:rPr>
          <w:lang w:val="en-US"/>
        </w:rPr>
      </w:pPr>
      <w:r w:rsidRPr="00BE6B71">
        <w:rPr>
          <w:b/>
          <w:bCs/>
          <w:lang w:val="en-US"/>
        </w:rPr>
        <w:t>Proposal:</w:t>
      </w:r>
      <w:r w:rsidRPr="00BE6B71">
        <w:rPr>
          <w:lang w:val="en-US"/>
        </w:rPr>
        <w:t xml:space="preserve"> Considering the low advantage of FDSS-SE versus existing transparent schemes it is proposed to lay the focus on optimizing transparent techniques.</w:t>
      </w:r>
    </w:p>
    <w:p w14:paraId="34C99636" w14:textId="14E8586D" w:rsidR="008E7986" w:rsidRPr="00BE6B71" w:rsidRDefault="008E7986" w:rsidP="006B5E6C">
      <w:pPr>
        <w:pStyle w:val="Heading1"/>
        <w:pBdr>
          <w:top w:val="single" w:sz="12" w:space="4" w:color="auto"/>
        </w:pBdr>
        <w:rPr>
          <w:lang w:val="en-US"/>
        </w:rPr>
      </w:pPr>
      <w:r w:rsidRPr="00BE6B71">
        <w:rPr>
          <w:lang w:val="en-US"/>
        </w:rPr>
        <w:t>Conclusions</w:t>
      </w:r>
    </w:p>
    <w:p w14:paraId="064B7978" w14:textId="735BBCFE" w:rsidR="009542BB" w:rsidRPr="00BE6B71" w:rsidRDefault="00293389" w:rsidP="00D17446">
      <w:pPr>
        <w:jc w:val="both"/>
        <w:rPr>
          <w:lang w:val="en-US"/>
        </w:rPr>
      </w:pPr>
      <w:r w:rsidRPr="00BE6B71">
        <w:rPr>
          <w:lang w:val="en-US"/>
        </w:rPr>
        <w:t xml:space="preserve">This contribution provides </w:t>
      </w:r>
      <w:r w:rsidR="008B56C3" w:rsidRPr="00BE6B71">
        <w:rPr>
          <w:lang w:val="en-US"/>
        </w:rPr>
        <w:t xml:space="preserve">several simulation results for coverage enhancement with the use of spectrum shaping and spectrum extension. </w:t>
      </w:r>
      <w:r w:rsidR="0034354B" w:rsidRPr="00BE6B71">
        <w:rPr>
          <w:lang w:val="en-US"/>
        </w:rPr>
        <w:t>The following observations and proposal</w:t>
      </w:r>
      <w:r w:rsidR="005002FD" w:rsidRPr="00BE6B71">
        <w:rPr>
          <w:lang w:val="en-US"/>
        </w:rPr>
        <w:t>s</w:t>
      </w:r>
      <w:r w:rsidR="0034354B" w:rsidRPr="00BE6B71">
        <w:rPr>
          <w:lang w:val="en-US"/>
        </w:rPr>
        <w:t xml:space="preserve"> are made</w:t>
      </w:r>
      <w:r w:rsidR="00750622" w:rsidRPr="00BE6B71">
        <w:rPr>
          <w:lang w:val="en-US"/>
        </w:rPr>
        <w:t>:</w:t>
      </w:r>
      <w:r w:rsidR="00A454A1" w:rsidRPr="00BE6B71">
        <w:rPr>
          <w:lang w:val="en-US"/>
        </w:rPr>
        <w:t xml:space="preserve"> </w:t>
      </w:r>
    </w:p>
    <w:p w14:paraId="418D5EBE" w14:textId="77777777" w:rsidR="009542BB" w:rsidRPr="00BE6B71" w:rsidRDefault="009542BB" w:rsidP="009542BB">
      <w:pPr>
        <w:jc w:val="both"/>
        <w:rPr>
          <w:lang w:val="en-US"/>
        </w:rPr>
      </w:pPr>
      <w:r w:rsidRPr="00BE6B71">
        <w:rPr>
          <w:b/>
          <w:bCs/>
          <w:lang w:val="en-US"/>
        </w:rPr>
        <w:t>Observation 1:</w:t>
      </w:r>
      <w:r w:rsidRPr="00BE6B71">
        <w:rPr>
          <w:lang w:val="en-US"/>
        </w:rPr>
        <w:t xml:space="preserve"> If a conventional receiver (which only considers the in-band portion of the signal) is deployed at </w:t>
      </w:r>
      <w:proofErr w:type="spellStart"/>
      <w:r w:rsidRPr="00BE6B71">
        <w:rPr>
          <w:lang w:val="en-US"/>
        </w:rPr>
        <w:t>gNB</w:t>
      </w:r>
      <w:proofErr w:type="spellEnd"/>
      <w:r w:rsidRPr="00BE6B71">
        <w:rPr>
          <w:lang w:val="en-US"/>
        </w:rPr>
        <w:t xml:space="preserve"> then some of the waveform energy is excluded during the demodulation process and therefore information which would </w:t>
      </w:r>
      <w:r w:rsidRPr="00BE6B71">
        <w:rPr>
          <w:lang w:val="en-US"/>
        </w:rPr>
        <w:lastRenderedPageBreak/>
        <w:t>improve the result. In case of spectrum extension, the extension contributes to the total output power which also contributes to the OBO. If a conventional receiver would be deployed in the field, then the net-gain analysis needs to consider this loss by adjusting OBO accordingly.</w:t>
      </w:r>
    </w:p>
    <w:p w14:paraId="3B94ED3A" w14:textId="77777777" w:rsidR="009542BB" w:rsidRPr="00BE6B71" w:rsidRDefault="009542BB" w:rsidP="009542BB">
      <w:pPr>
        <w:jc w:val="both"/>
        <w:rPr>
          <w:lang w:val="en-US"/>
        </w:rPr>
      </w:pPr>
      <w:r w:rsidRPr="00BE6B71">
        <w:rPr>
          <w:b/>
          <w:bCs/>
          <w:lang w:val="en-US"/>
        </w:rPr>
        <w:t>Observation 2:</w:t>
      </w:r>
      <w:r w:rsidRPr="00BE6B71">
        <w:rPr>
          <w:lang w:val="en-US"/>
        </w:rPr>
        <w:t xml:space="preserve"> Outstanding for transparent schemes are the results from Qualcomm as those report up to 1.5dB. Qualcomm results are obtained by using other peak cancelation techniques which differ from FDSS. It seems that transparent schemes other than FDSS should be considered to find optimum performance. </w:t>
      </w:r>
    </w:p>
    <w:p w14:paraId="2FFECEFE" w14:textId="77777777" w:rsidR="009542BB" w:rsidRPr="00BE6B71" w:rsidRDefault="009542BB" w:rsidP="009542BB">
      <w:pPr>
        <w:jc w:val="both"/>
        <w:rPr>
          <w:b/>
          <w:bCs/>
          <w:lang w:val="en-US"/>
        </w:rPr>
      </w:pPr>
      <w:r w:rsidRPr="00BE6B71">
        <w:rPr>
          <w:b/>
          <w:bCs/>
          <w:lang w:val="en-US"/>
        </w:rPr>
        <w:t xml:space="preserve">Observation 3: </w:t>
      </w:r>
      <w:r w:rsidRPr="00BE6B71">
        <w:rPr>
          <w:lang w:val="en-US"/>
        </w:rPr>
        <w:t xml:space="preserve">The net-gain of transparent techniques can never fall below zero if optimization is done by considering all options. The worst case for the net-gain is that it approaches zero. </w:t>
      </w:r>
    </w:p>
    <w:p w14:paraId="0A4F6BC3" w14:textId="7AC73777" w:rsidR="009542BB" w:rsidRPr="00BE6B71" w:rsidRDefault="009542BB" w:rsidP="009542BB">
      <w:pPr>
        <w:jc w:val="both"/>
        <w:rPr>
          <w:lang w:val="en-US"/>
        </w:rPr>
      </w:pPr>
      <w:r w:rsidRPr="00BE6B71">
        <w:rPr>
          <w:b/>
          <w:bCs/>
          <w:lang w:val="en-US"/>
        </w:rPr>
        <w:t>Observation 4:</w:t>
      </w:r>
      <w:r w:rsidRPr="00BE6B71">
        <w:rPr>
          <w:lang w:val="en-US"/>
        </w:rPr>
        <w:t xml:space="preserve"> The average advantage of FDSS-SE versus transparent techniques across all analyzed RB allocations is approximately 0.</w:t>
      </w:r>
      <w:r w:rsidR="00642873">
        <w:rPr>
          <w:lang w:val="en-US"/>
        </w:rPr>
        <w:t>74</w:t>
      </w:r>
      <w:r w:rsidRPr="00BE6B71">
        <w:rPr>
          <w:lang w:val="en-US"/>
        </w:rPr>
        <w:t>dB. For outer allocations the average advantage is approximately 0.</w:t>
      </w:r>
      <w:r w:rsidR="00642873">
        <w:rPr>
          <w:lang w:val="en-US"/>
        </w:rPr>
        <w:t>65</w:t>
      </w:r>
      <w:r w:rsidRPr="00BE6B71">
        <w:rPr>
          <w:lang w:val="en-US"/>
        </w:rPr>
        <w:t>dB. The largest RB allocation size consists of 40 RBs.</w:t>
      </w:r>
    </w:p>
    <w:p w14:paraId="1DD9B8F3" w14:textId="77777777" w:rsidR="009542BB" w:rsidRPr="00BE6B71" w:rsidRDefault="009542BB" w:rsidP="009542BB">
      <w:pPr>
        <w:jc w:val="both"/>
        <w:rPr>
          <w:lang w:val="en-US"/>
        </w:rPr>
      </w:pPr>
      <w:r w:rsidRPr="00BE6B71">
        <w:rPr>
          <w:b/>
          <w:bCs/>
          <w:lang w:val="en-US"/>
        </w:rPr>
        <w:t>Observation 5:</w:t>
      </w:r>
      <w:r w:rsidRPr="00BE6B71">
        <w:rPr>
          <w:lang w:val="en-US"/>
        </w:rPr>
        <w:t xml:space="preserve"> Transparent techniques have the advantage that those are far simpler to be implemented. Impact on baseband processing is lower. Also, the optimization effort during implementation is reduced. With transparent techniques a UE vendor has only to consider the amount of RBs and their location for finding an optimum setup. In case of non-transparent techniques such as FDSS-SE the UE vendor must additionally consider the extension factor and the adapted MCS. The extension factor introduces another dimension which needs to be handled when optimizing the net-gain. The various data needs to be stored in the UE with large tables creating additional costs as more memory is required.</w:t>
      </w:r>
    </w:p>
    <w:p w14:paraId="21A7E874" w14:textId="12B8003C" w:rsidR="009542BB" w:rsidRPr="00BE6B71" w:rsidRDefault="009542BB" w:rsidP="00D17446">
      <w:pPr>
        <w:jc w:val="both"/>
        <w:rPr>
          <w:lang w:val="en-US"/>
        </w:rPr>
      </w:pPr>
      <w:r w:rsidRPr="00BE6B71">
        <w:rPr>
          <w:b/>
          <w:bCs/>
          <w:lang w:val="en-US"/>
        </w:rPr>
        <w:t>Proposal:</w:t>
      </w:r>
      <w:r w:rsidRPr="00BE6B71">
        <w:rPr>
          <w:lang w:val="en-US"/>
        </w:rPr>
        <w:t xml:space="preserve"> Considering the low advantage of FDSS-SE versus existing transparent schemes it is proposed to lay the focus on optimizing transparent techniques.</w:t>
      </w:r>
    </w:p>
    <w:p w14:paraId="311629DC" w14:textId="77777777" w:rsidR="001B0535" w:rsidRPr="00BE6B71" w:rsidRDefault="001B0535" w:rsidP="001B0535">
      <w:pPr>
        <w:spacing w:after="60"/>
        <w:rPr>
          <w:lang w:val="en-US"/>
        </w:rPr>
      </w:pPr>
    </w:p>
    <w:p w14:paraId="5D2DDC34" w14:textId="3EA5D6DD" w:rsidR="005E69AE" w:rsidRPr="00BE6B71" w:rsidRDefault="00EE6E8B" w:rsidP="00710BDD">
      <w:pPr>
        <w:pStyle w:val="Heading1"/>
        <w:ind w:left="0" w:firstLine="0"/>
        <w:rPr>
          <w:lang w:val="en-US"/>
        </w:rPr>
      </w:pPr>
      <w:proofErr w:type="gramStart"/>
      <w:r w:rsidRPr="00BE6B71">
        <w:rPr>
          <w:lang w:val="en-US"/>
        </w:rPr>
        <w:t>4</w:t>
      </w:r>
      <w:r w:rsidR="00C93E8E" w:rsidRPr="00BE6B71">
        <w:rPr>
          <w:lang w:val="en-US"/>
        </w:rPr>
        <w:t xml:space="preserve"> </w:t>
      </w:r>
      <w:r w:rsidR="0034751F" w:rsidRPr="00BE6B71">
        <w:rPr>
          <w:lang w:val="en-US"/>
        </w:rPr>
        <w:t xml:space="preserve"> </w:t>
      </w:r>
      <w:r w:rsidR="005E69AE" w:rsidRPr="00BE6B71">
        <w:rPr>
          <w:lang w:val="en-US"/>
        </w:rPr>
        <w:t>References</w:t>
      </w:r>
      <w:proofErr w:type="gramEnd"/>
    </w:p>
    <w:p w14:paraId="1B824D05" w14:textId="7574AA44" w:rsidR="00286D02" w:rsidRPr="00BE6B71" w:rsidRDefault="00286D02" w:rsidP="007D272C">
      <w:pPr>
        <w:pStyle w:val="ListParagraph"/>
        <w:numPr>
          <w:ilvl w:val="0"/>
          <w:numId w:val="2"/>
        </w:numPr>
        <w:spacing w:after="120"/>
        <w:rPr>
          <w:lang w:val="en-US"/>
        </w:rPr>
      </w:pPr>
      <w:bookmarkStart w:id="1" w:name="_Ref67429389"/>
      <w:bookmarkEnd w:id="0"/>
      <w:r w:rsidRPr="00BE6B71">
        <w:rPr>
          <w:lang w:val="en-US"/>
        </w:rPr>
        <w:t>RP-213579, “</w:t>
      </w:r>
      <w:bookmarkEnd w:id="1"/>
      <w:r w:rsidRPr="00BE6B71">
        <w:rPr>
          <w:lang w:val="en-US"/>
        </w:rPr>
        <w:t>New WI: Further NR coverage enhancements”, China Telecom</w:t>
      </w:r>
    </w:p>
    <w:p w14:paraId="48FA5829" w14:textId="583C056E" w:rsidR="007D272C" w:rsidRPr="00BE6B71" w:rsidRDefault="00450B63" w:rsidP="007D272C">
      <w:pPr>
        <w:pStyle w:val="ListParagraph"/>
        <w:numPr>
          <w:ilvl w:val="0"/>
          <w:numId w:val="2"/>
        </w:numPr>
        <w:rPr>
          <w:bCs/>
          <w:lang w:val="en-US"/>
        </w:rPr>
      </w:pPr>
      <w:r w:rsidRPr="00BE6B71">
        <w:rPr>
          <w:bCs/>
          <w:lang w:val="en-US"/>
        </w:rPr>
        <w:t>R4-2306627</w:t>
      </w:r>
      <w:r w:rsidR="0078319F" w:rsidRPr="00BE6B71">
        <w:rPr>
          <w:bCs/>
          <w:lang w:val="en-US"/>
        </w:rPr>
        <w:t>, “</w:t>
      </w:r>
      <w:r w:rsidRPr="00BE6B71">
        <w:rPr>
          <w:bCs/>
          <w:lang w:val="en-US"/>
        </w:rPr>
        <w:t>WF on remaining open issues for MPR/PAR reduction for coverage enhancement</w:t>
      </w:r>
      <w:r w:rsidR="0078319F" w:rsidRPr="00BE6B71">
        <w:rPr>
          <w:bCs/>
          <w:lang w:val="en-US"/>
        </w:rPr>
        <w:t>”, Nokia, RAN4#104-bis-e</w:t>
      </w:r>
    </w:p>
    <w:p w14:paraId="71904EC0" w14:textId="17DB0924" w:rsidR="00285679" w:rsidRPr="00BE6B71" w:rsidRDefault="0037264F" w:rsidP="007D272C">
      <w:pPr>
        <w:pStyle w:val="ListParagraph"/>
        <w:numPr>
          <w:ilvl w:val="0"/>
          <w:numId w:val="2"/>
        </w:numPr>
        <w:rPr>
          <w:bCs/>
          <w:lang w:val="en-US"/>
        </w:rPr>
      </w:pPr>
      <w:r w:rsidRPr="00BE6B71">
        <w:rPr>
          <w:bCs/>
          <w:lang w:val="en-US"/>
        </w:rPr>
        <w:t>R4-2220842, “LS on RF simulation parameters to be used in RAN4 for power domain enhancements”, Nokia, RAN4#105</w:t>
      </w:r>
    </w:p>
    <w:p w14:paraId="1957BD6C" w14:textId="77777777" w:rsidR="000847C8" w:rsidRPr="00BE6B71" w:rsidRDefault="000847C8" w:rsidP="000847C8">
      <w:pPr>
        <w:rPr>
          <w:bCs/>
          <w:lang w:val="en-US"/>
        </w:rPr>
      </w:pPr>
    </w:p>
    <w:p w14:paraId="305A23E0" w14:textId="37782922" w:rsidR="000847C8" w:rsidRPr="00BE6B71" w:rsidRDefault="000847C8" w:rsidP="000847C8">
      <w:pPr>
        <w:pStyle w:val="Heading1"/>
        <w:ind w:left="0" w:firstLine="0"/>
        <w:rPr>
          <w:lang w:val="en-US"/>
        </w:rPr>
      </w:pPr>
      <w:proofErr w:type="gramStart"/>
      <w:r w:rsidRPr="00BE6B71">
        <w:rPr>
          <w:lang w:val="en-US"/>
        </w:rPr>
        <w:t>5  Annex</w:t>
      </w:r>
      <w:proofErr w:type="gramEnd"/>
    </w:p>
    <w:p w14:paraId="74BDC000" w14:textId="6F72FF71" w:rsidR="000847C8" w:rsidRPr="00BE6B71" w:rsidRDefault="007B0876" w:rsidP="001E30D0">
      <w:pPr>
        <w:jc w:val="both"/>
        <w:rPr>
          <w:lang w:val="en-US"/>
        </w:rPr>
      </w:pPr>
      <w:r w:rsidRPr="00BE6B71">
        <w:rPr>
          <w:lang w:val="en-US"/>
        </w:rPr>
        <w:t>The annex shall provide a quick overview on the results for 700MHz. For details on the calculation the reader is asked to check the companion excel sheet containing all the data and calculations.</w:t>
      </w:r>
    </w:p>
    <w:p w14:paraId="1622BAF6" w14:textId="4FDC09CA" w:rsidR="007B0876" w:rsidRPr="00BE6B71" w:rsidRDefault="007B0876" w:rsidP="001E30D0">
      <w:pPr>
        <w:jc w:val="both"/>
        <w:rPr>
          <w:lang w:val="en-US"/>
        </w:rPr>
      </w:pPr>
      <w:r w:rsidRPr="00BE6B71">
        <w:rPr>
          <w:lang w:val="en-US"/>
        </w:rPr>
        <w:t xml:space="preserve">The Table </w:t>
      </w:r>
      <w:r w:rsidR="005B0EEF" w:rsidRPr="00BE6B71">
        <w:rPr>
          <w:lang w:val="en-US"/>
        </w:rPr>
        <w:t>A1</w:t>
      </w:r>
      <w:r w:rsidRPr="00BE6B71">
        <w:rPr>
          <w:lang w:val="en-US"/>
        </w:rPr>
        <w:t xml:space="preserve"> and Table </w:t>
      </w:r>
      <w:r w:rsidR="005B0EEF" w:rsidRPr="00BE6B71">
        <w:rPr>
          <w:lang w:val="en-US"/>
        </w:rPr>
        <w:t>A2</w:t>
      </w:r>
      <w:r w:rsidRPr="00BE6B71">
        <w:rPr>
          <w:lang w:val="en-US"/>
        </w:rPr>
        <w:t xml:space="preserve"> contain the results for inner and outer allocations</w:t>
      </w:r>
      <w:r w:rsidR="00DE1DBD" w:rsidRPr="00BE6B71">
        <w:rPr>
          <w:lang w:val="en-US"/>
        </w:rPr>
        <w:t xml:space="preserve"> with transparent schemes</w:t>
      </w:r>
      <w:r w:rsidRPr="00BE6B71">
        <w:rPr>
          <w:lang w:val="en-US"/>
        </w:rPr>
        <w:t xml:space="preserve">. </w:t>
      </w:r>
      <w:r w:rsidR="00DE1DBD" w:rsidRPr="00BE6B71">
        <w:rPr>
          <w:lang w:val="en-US"/>
        </w:rPr>
        <w:t xml:space="preserve">As explained in the </w:t>
      </w:r>
      <w:r w:rsidR="00B00452" w:rsidRPr="00BE6B71">
        <w:rPr>
          <w:lang w:val="en-US"/>
        </w:rPr>
        <w:t>section</w:t>
      </w:r>
      <w:r w:rsidR="00DE1DBD" w:rsidRPr="00BE6B71">
        <w:rPr>
          <w:lang w:val="en-US"/>
        </w:rPr>
        <w:t xml:space="preserve"> 2 t</w:t>
      </w:r>
      <w:r w:rsidRPr="00BE6B71">
        <w:rPr>
          <w:lang w:val="en-US"/>
        </w:rPr>
        <w:t xml:space="preserve">he </w:t>
      </w:r>
      <w:proofErr w:type="gramStart"/>
      <w:r w:rsidRPr="00BE6B71">
        <w:rPr>
          <w:lang w:val="en-US"/>
        </w:rPr>
        <w:t>max(</w:t>
      </w:r>
      <w:proofErr w:type="gramEnd"/>
      <w:r w:rsidRPr="00BE6B71">
        <w:rPr>
          <w:lang w:val="en-US"/>
        </w:rPr>
        <w:t>) operator</w:t>
      </w:r>
      <w:r w:rsidR="00DE1DBD" w:rsidRPr="00BE6B71">
        <w:rPr>
          <w:lang w:val="en-US"/>
        </w:rPr>
        <w:t xml:space="preserve"> is used</w:t>
      </w:r>
      <w:r w:rsidRPr="00BE6B71">
        <w:rPr>
          <w:lang w:val="en-US"/>
        </w:rPr>
        <w:t xml:space="preserve"> to condense the multitude of data points. </w:t>
      </w:r>
    </w:p>
    <w:p w14:paraId="41DDC664" w14:textId="30C36B98" w:rsidR="005B0EEF" w:rsidRPr="00BE6B71" w:rsidRDefault="005B0EEF" w:rsidP="005B0EEF">
      <w:pPr>
        <w:tabs>
          <w:tab w:val="left" w:pos="3809"/>
        </w:tabs>
        <w:spacing w:after="60"/>
        <w:jc w:val="center"/>
        <w:rPr>
          <w:lang w:val="en-US"/>
        </w:rPr>
      </w:pPr>
      <w:r w:rsidRPr="00BE6B71">
        <w:rPr>
          <w:lang w:val="en-US"/>
        </w:rPr>
        <w:t xml:space="preserve">Table A1: Delta Net-Gain - Inner Allocations </w:t>
      </w:r>
      <w:r w:rsidR="00CF3F45" w:rsidRPr="00BE6B71">
        <w:rPr>
          <w:lang w:val="en-US"/>
        </w:rPr>
        <w:t>– Transparent Scheme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5B0EEF" w:rsidRPr="005B0EEF" w14:paraId="2A8114F8" w14:textId="77777777" w:rsidTr="005B0EE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AEF1657"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138C87F"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A706F26"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664FBCA"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B1C5F4F"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Average</w:t>
            </w:r>
          </w:p>
        </w:tc>
      </w:tr>
      <w:tr w:rsidR="005B0EEF" w:rsidRPr="005B0EEF" w14:paraId="61F0F1B4" w14:textId="77777777" w:rsidTr="005B0EE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0E3B92"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022D5"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0.25</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C153A91" w14:textId="77777777" w:rsidR="005B0EEF" w:rsidRPr="005B0EEF" w:rsidRDefault="005B0EEF" w:rsidP="005B0EEF">
            <w:pPr>
              <w:spacing w:after="0"/>
              <w:rPr>
                <w:rFonts w:ascii="Helvetica" w:hAnsi="Helvetica"/>
                <w:sz w:val="18"/>
                <w:szCs w:val="18"/>
                <w:lang w:val="en-US" w:eastAsia="en-GB"/>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574A9CF"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-0.14</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7A361EF"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0.08</w:t>
            </w:r>
          </w:p>
        </w:tc>
      </w:tr>
      <w:tr w:rsidR="005B0EEF" w:rsidRPr="005B0EEF" w14:paraId="2A5516A4" w14:textId="77777777" w:rsidTr="005B0EE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3756519"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460B2"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E8D2B"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-2.59</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35AA71E1" w14:textId="77777777" w:rsidR="005B0EEF" w:rsidRPr="005B0EEF" w:rsidRDefault="005B0EEF" w:rsidP="005B0EEF">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6DF949C"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0.00</w:t>
            </w:r>
          </w:p>
        </w:tc>
      </w:tr>
      <w:tr w:rsidR="005B0EEF" w:rsidRPr="005B0EEF" w14:paraId="279FD88F" w14:textId="77777777" w:rsidTr="005B0EE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D524F9F"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C54985"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26D74"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-2.36</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124DB19E" w14:textId="77777777" w:rsidR="005B0EEF" w:rsidRPr="005B0EEF" w:rsidRDefault="005B0EEF" w:rsidP="005B0EEF">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9A3AFE6"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0.00</w:t>
            </w:r>
          </w:p>
        </w:tc>
      </w:tr>
      <w:tr w:rsidR="005B0EEF" w:rsidRPr="005B0EEF" w14:paraId="21AFADA7" w14:textId="77777777" w:rsidTr="005B0EEF">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439CCC"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E31673"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11988"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-2.39</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E9D7BDA" w14:textId="77777777" w:rsidR="005B0EEF" w:rsidRPr="005B0EEF" w:rsidRDefault="005B0EEF" w:rsidP="005B0EEF">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2AA5475E"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0.00</w:t>
            </w:r>
          </w:p>
        </w:tc>
      </w:tr>
      <w:tr w:rsidR="005B0EEF" w:rsidRPr="005B0EEF" w14:paraId="6E3F4F67" w14:textId="77777777" w:rsidTr="005B0EE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BA5A49A" w14:textId="77777777" w:rsidR="005B0EEF" w:rsidRPr="005B0EEF" w:rsidRDefault="005B0EEF" w:rsidP="005B0EEF">
            <w:pPr>
              <w:spacing w:after="0"/>
              <w:rPr>
                <w:sz w:val="24"/>
                <w:szCs w:val="24"/>
                <w:lang w:val="en-US" w:eastAsia="en-GB"/>
              </w:rPr>
            </w:pPr>
            <w:r w:rsidRPr="005B0EEF">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A885FB"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0.07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8C685"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-2.32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F54E270"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1.40</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067FC1ED" w14:textId="77777777" w:rsidR="005B0EEF" w:rsidRPr="005B0EEF" w:rsidRDefault="005B0EEF" w:rsidP="005B0EEF">
            <w:pPr>
              <w:spacing w:after="0"/>
              <w:rPr>
                <w:sz w:val="24"/>
                <w:szCs w:val="24"/>
                <w:lang w:val="en-US" w:eastAsia="en-GB"/>
              </w:rPr>
            </w:pPr>
            <w:r w:rsidRPr="005B0EEF">
              <w:rPr>
                <w:rFonts w:ascii="Helvetica Neue" w:hAnsi="Helvetica Neue"/>
                <w:color w:val="000000"/>
                <w:sz w:val="15"/>
                <w:szCs w:val="15"/>
                <w:lang w:val="en-US" w:eastAsia="en-GB"/>
              </w:rPr>
              <w:t>0.49</w:t>
            </w:r>
          </w:p>
        </w:tc>
      </w:tr>
    </w:tbl>
    <w:p w14:paraId="007BCF30" w14:textId="77777777" w:rsidR="005B0EEF" w:rsidRPr="00BE6B71" w:rsidRDefault="005B0EEF" w:rsidP="005B0EEF">
      <w:pPr>
        <w:tabs>
          <w:tab w:val="left" w:pos="3809"/>
        </w:tabs>
        <w:spacing w:after="60"/>
        <w:jc w:val="center"/>
        <w:rPr>
          <w:lang w:val="en-US"/>
        </w:rPr>
      </w:pPr>
    </w:p>
    <w:p w14:paraId="4E686620" w14:textId="2E14BDCA" w:rsidR="007B0876" w:rsidRPr="00BE6B71" w:rsidRDefault="005B0EEF" w:rsidP="005B0EEF">
      <w:pPr>
        <w:tabs>
          <w:tab w:val="left" w:pos="3809"/>
        </w:tabs>
        <w:spacing w:after="60"/>
        <w:jc w:val="center"/>
        <w:rPr>
          <w:lang w:val="en-US"/>
        </w:rPr>
      </w:pPr>
      <w:r w:rsidRPr="00BE6B71">
        <w:rPr>
          <w:lang w:val="en-US"/>
        </w:rPr>
        <w:t xml:space="preserve">Table A2: </w:t>
      </w:r>
      <w:r w:rsidR="00CF3F45" w:rsidRPr="00BE6B71">
        <w:rPr>
          <w:lang w:val="en-US"/>
        </w:rPr>
        <w:t>Delta Net-Gain - Outer Allocations – Transparent Scheme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BD692F" w:rsidRPr="00BD692F" w14:paraId="1436A6E0" w14:textId="77777777" w:rsidTr="00BD692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DC1AAA3"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BC180A"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FF315F7"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B9E98DF"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E5B6B77"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Average</w:t>
            </w:r>
          </w:p>
        </w:tc>
      </w:tr>
      <w:tr w:rsidR="00BD692F" w:rsidRPr="00BD692F" w14:paraId="549080F1" w14:textId="77777777" w:rsidTr="00BD692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FAC8F8F"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0C0C8E"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1.53</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6B4A98D9" w14:textId="77777777" w:rsidR="00BD692F" w:rsidRPr="00BD692F" w:rsidRDefault="00BD692F" w:rsidP="00BD692F">
            <w:pPr>
              <w:spacing w:after="0"/>
              <w:rPr>
                <w:rFonts w:ascii="Helvetica" w:hAnsi="Helvetica"/>
                <w:sz w:val="18"/>
                <w:szCs w:val="18"/>
                <w:lang w:val="en-DE" w:eastAsia="en-GB"/>
              </w:rPr>
            </w:pP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7D6A0F0"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0.50</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FE8E470"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1.01</w:t>
            </w:r>
          </w:p>
        </w:tc>
      </w:tr>
      <w:tr w:rsidR="00BD692F" w:rsidRPr="00BD692F" w14:paraId="5B7026B6" w14:textId="77777777" w:rsidTr="00BD692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AF78E3"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lastRenderedPageBreak/>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D866A"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1.22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A6435"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-0.78</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642F49C" w14:textId="77777777" w:rsidR="00BD692F" w:rsidRPr="00BD692F" w:rsidRDefault="00BD692F" w:rsidP="00BD692F">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71AED6B7"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0.61</w:t>
            </w:r>
          </w:p>
        </w:tc>
      </w:tr>
      <w:tr w:rsidR="00BD692F" w:rsidRPr="00BD692F" w14:paraId="7979C15D" w14:textId="77777777" w:rsidTr="00BD692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889F43F"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6C16D0"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1.25</w:t>
            </w:r>
          </w:p>
        </w:tc>
        <w:tc>
          <w:tcPr>
            <w:tcW w:w="133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50B40234" w14:textId="77777777" w:rsidR="00BD692F" w:rsidRPr="00BD692F" w:rsidRDefault="00BD692F" w:rsidP="00BD692F">
            <w:pPr>
              <w:spacing w:after="0"/>
              <w:rPr>
                <w:rFonts w:ascii="Helvetica" w:hAnsi="Helvetica"/>
                <w:sz w:val="18"/>
                <w:szCs w:val="18"/>
                <w:lang w:val="en-DE" w:eastAsia="en-GB"/>
              </w:rPr>
            </w:pP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4C55A29" w14:textId="77777777" w:rsidR="00BD692F" w:rsidRPr="00BD692F" w:rsidRDefault="00BD692F" w:rsidP="00BD692F">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220A57F"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0.62</w:t>
            </w:r>
          </w:p>
        </w:tc>
      </w:tr>
      <w:tr w:rsidR="00BD692F" w:rsidRPr="00BD692F" w14:paraId="629D15AD" w14:textId="77777777" w:rsidTr="00BD692F">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EFC10E2"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2090EF"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1.39</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4EAB3"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-1.11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58CD8F9" w14:textId="77777777" w:rsidR="00BD692F" w:rsidRPr="00BD692F" w:rsidRDefault="00BD692F" w:rsidP="00BD692F">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376CC3B7"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0.69</w:t>
            </w:r>
          </w:p>
        </w:tc>
      </w:tr>
      <w:tr w:rsidR="00BD692F" w:rsidRPr="00BD692F" w14:paraId="7E52F57F" w14:textId="77777777" w:rsidTr="00BD692F">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F5571A7" w14:textId="77777777" w:rsidR="00BD692F" w:rsidRPr="00BD692F" w:rsidRDefault="00BD692F" w:rsidP="00BD692F">
            <w:pPr>
              <w:spacing w:after="0"/>
              <w:rPr>
                <w:sz w:val="24"/>
                <w:szCs w:val="24"/>
                <w:lang w:val="en-DE" w:eastAsia="en-GB"/>
              </w:rPr>
            </w:pPr>
            <w:r w:rsidRPr="00BD692F">
              <w:rPr>
                <w:rFonts w:ascii="Helvetica Neue" w:hAnsi="Helvetica Neue"/>
                <w:b/>
                <w:bCs/>
                <w:color w:val="000000"/>
                <w:sz w:val="15"/>
                <w:szCs w:val="15"/>
                <w:lang w:val="en-DE"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F5EB69"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4E985"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-1.12</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88F6D02"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0.71</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7155A976" w14:textId="77777777" w:rsidR="00BD692F" w:rsidRPr="00BD692F" w:rsidRDefault="00BD692F" w:rsidP="00BD692F">
            <w:pPr>
              <w:spacing w:after="0"/>
              <w:rPr>
                <w:sz w:val="24"/>
                <w:szCs w:val="24"/>
                <w:lang w:val="en-DE" w:eastAsia="en-GB"/>
              </w:rPr>
            </w:pPr>
            <w:r w:rsidRPr="00BD692F">
              <w:rPr>
                <w:rFonts w:ascii="Helvetica Neue" w:hAnsi="Helvetica Neue"/>
                <w:color w:val="000000"/>
                <w:sz w:val="15"/>
                <w:szCs w:val="15"/>
                <w:lang w:val="en-DE" w:eastAsia="en-GB"/>
              </w:rPr>
              <w:t>0.71</w:t>
            </w:r>
          </w:p>
        </w:tc>
      </w:tr>
    </w:tbl>
    <w:p w14:paraId="2E249136" w14:textId="77777777" w:rsidR="005B0EEF" w:rsidRPr="00BE6B71" w:rsidRDefault="005B0EEF" w:rsidP="000847C8">
      <w:pPr>
        <w:rPr>
          <w:lang w:val="en-US"/>
        </w:rPr>
      </w:pPr>
    </w:p>
    <w:p w14:paraId="33DAA401" w14:textId="7ABE7644" w:rsidR="007B0876" w:rsidRPr="00BE6B71" w:rsidRDefault="00B00452" w:rsidP="000847C8">
      <w:pPr>
        <w:rPr>
          <w:lang w:val="en-US"/>
        </w:rPr>
      </w:pPr>
      <w:r w:rsidRPr="00BE6B71">
        <w:rPr>
          <w:lang w:val="en-US"/>
        </w:rPr>
        <w:t>The results for inner and outer allocations with FDSS-SE can be found in Table A3 and Table A4.</w:t>
      </w:r>
    </w:p>
    <w:p w14:paraId="696D034C" w14:textId="4DA196C5" w:rsidR="00B00452" w:rsidRPr="00BE6B71" w:rsidRDefault="00B00452" w:rsidP="00B00452">
      <w:pPr>
        <w:tabs>
          <w:tab w:val="left" w:pos="3809"/>
        </w:tabs>
        <w:spacing w:after="60"/>
        <w:jc w:val="center"/>
        <w:rPr>
          <w:lang w:val="en-US"/>
        </w:rPr>
      </w:pPr>
      <w:r w:rsidRPr="00BE6B71">
        <w:rPr>
          <w:lang w:val="en-US"/>
        </w:rPr>
        <w:t>Table A3: Max of Net-Gain: Inner Allocations- FDSS-SE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B00452" w:rsidRPr="00B00452" w14:paraId="70B08B14"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BE166D"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A6F2652"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51DDFA6"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66199E32"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FD6DB85"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Average</w:t>
            </w:r>
          </w:p>
        </w:tc>
      </w:tr>
      <w:tr w:rsidR="00B00452" w:rsidRPr="00B00452" w14:paraId="5173ED6E"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FD47195"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162995"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0.71</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462BC4"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1.03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2C09FAF6"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-0.12</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15ED737B"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0.58</w:t>
            </w:r>
          </w:p>
        </w:tc>
      </w:tr>
      <w:tr w:rsidR="00B00452" w:rsidRPr="00B00452" w14:paraId="0381E60F"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7687431"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3E76D6"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0.87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1ACF5"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0.02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E351C34"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687D1A0"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0.45</w:t>
            </w:r>
          </w:p>
        </w:tc>
      </w:tr>
      <w:tr w:rsidR="00B00452" w:rsidRPr="00B00452" w14:paraId="01BA1CD4"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9637563"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9B29AF"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0.97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9B0CCB"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0.43</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546A901"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42CE5C5C"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0.70</w:t>
            </w:r>
          </w:p>
        </w:tc>
      </w:tr>
      <w:tr w:rsidR="00B00452" w:rsidRPr="00B00452" w14:paraId="4F63FFFE" w14:textId="77777777" w:rsidTr="00B00452">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F0979A"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4DDB1"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9AB9D"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0.92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A69777B"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B199487"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0.74</w:t>
            </w:r>
          </w:p>
        </w:tc>
      </w:tr>
      <w:tr w:rsidR="00B00452" w:rsidRPr="00B00452" w14:paraId="013153BE"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60A457"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D7B1D"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8FBBF"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0.41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619EC419"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0.86</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22D5DAA3"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0.69</w:t>
            </w:r>
          </w:p>
        </w:tc>
      </w:tr>
    </w:tbl>
    <w:p w14:paraId="1CC33367" w14:textId="77777777" w:rsidR="00B00452" w:rsidRPr="00BE6B71" w:rsidRDefault="00B00452" w:rsidP="00B00452">
      <w:pPr>
        <w:tabs>
          <w:tab w:val="left" w:pos="3809"/>
        </w:tabs>
        <w:spacing w:after="60"/>
        <w:jc w:val="center"/>
        <w:rPr>
          <w:lang w:val="en-US"/>
        </w:rPr>
      </w:pPr>
    </w:p>
    <w:p w14:paraId="3D16D048" w14:textId="245661CE" w:rsidR="00B00452" w:rsidRPr="00BE6B71" w:rsidRDefault="00B00452" w:rsidP="00B00452">
      <w:pPr>
        <w:tabs>
          <w:tab w:val="left" w:pos="3809"/>
        </w:tabs>
        <w:spacing w:after="60"/>
        <w:jc w:val="center"/>
        <w:rPr>
          <w:lang w:val="en-US"/>
        </w:rPr>
      </w:pPr>
      <w:r w:rsidRPr="00BE6B71">
        <w:rPr>
          <w:lang w:val="en-US"/>
        </w:rPr>
        <w:t xml:space="preserve">Table A4: </w:t>
      </w:r>
      <w:r w:rsidR="0043610D" w:rsidRPr="00BE6B71">
        <w:rPr>
          <w:lang w:val="en-US"/>
        </w:rPr>
        <w:t>Max of Net-Gain: Outer Allocations- FDSS-SE (700MHz)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B00452" w:rsidRPr="00B00452" w14:paraId="71C8001C"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FAD5E60"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90A48F0"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9D04A3"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74C7DF2B"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32C95B80"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Average</w:t>
            </w:r>
          </w:p>
        </w:tc>
      </w:tr>
      <w:tr w:rsidR="00B00452" w:rsidRPr="00B00452" w14:paraId="20F323A5"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B91E5F"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CEE113"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1.80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D8971"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1.60</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3DAE917D"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1.29</w:t>
            </w: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6D102F4A"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1.56</w:t>
            </w:r>
          </w:p>
        </w:tc>
      </w:tr>
      <w:tr w:rsidR="00B00452" w:rsidRPr="00B00452" w14:paraId="4AA579C2"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AAB2ADD"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98236D"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1.63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93B67B"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0.07</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03CC7B22"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69C70F0"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0.85</w:t>
            </w:r>
          </w:p>
        </w:tc>
      </w:tr>
      <w:tr w:rsidR="00B00452" w:rsidRPr="00B00452" w14:paraId="68988305"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3CE7C2"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93E6FA"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2.08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10D513"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1.41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1CADB9E"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0E583290"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1.74</w:t>
            </w:r>
          </w:p>
        </w:tc>
      </w:tr>
      <w:tr w:rsidR="00B00452" w:rsidRPr="00B00452" w14:paraId="464DBC47" w14:textId="77777777" w:rsidTr="00B00452">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DE7464F"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12953"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B532F" w14:textId="0F0C8F74"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0.</w:t>
            </w:r>
            <w:r w:rsidR="008A2D77">
              <w:rPr>
                <w:rFonts w:ascii="Helvetica Neue" w:hAnsi="Helvetica Neue"/>
                <w:color w:val="000000"/>
                <w:sz w:val="15"/>
                <w:szCs w:val="15"/>
                <w:lang w:val="en-US" w:eastAsia="en-GB"/>
              </w:rPr>
              <w:t>72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D52F9A1" w14:textId="77777777" w:rsidR="00B00452" w:rsidRPr="00B00452" w:rsidRDefault="00B00452" w:rsidP="00B00452">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tcMar>
              <w:top w:w="60" w:type="dxa"/>
              <w:left w:w="60" w:type="dxa"/>
              <w:bottom w:w="60" w:type="dxa"/>
              <w:right w:w="60" w:type="dxa"/>
            </w:tcMar>
            <w:hideMark/>
          </w:tcPr>
          <w:p w14:paraId="533F813C" w14:textId="7049107D"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w:t>
            </w:r>
            <w:r w:rsidR="008A2D77">
              <w:rPr>
                <w:rFonts w:ascii="Helvetica Neue" w:hAnsi="Helvetica Neue"/>
                <w:color w:val="000000"/>
                <w:sz w:val="15"/>
                <w:szCs w:val="15"/>
                <w:lang w:val="en-US" w:eastAsia="en-GB"/>
              </w:rPr>
              <w:t>07</w:t>
            </w:r>
          </w:p>
        </w:tc>
      </w:tr>
      <w:tr w:rsidR="00B00452" w:rsidRPr="00B00452" w14:paraId="7321ABEA" w14:textId="77777777" w:rsidTr="00B00452">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3CD5B2" w14:textId="77777777" w:rsidR="00B00452" w:rsidRPr="00B00452" w:rsidRDefault="00B00452" w:rsidP="00B00452">
            <w:pPr>
              <w:spacing w:after="0"/>
              <w:rPr>
                <w:sz w:val="24"/>
                <w:szCs w:val="24"/>
                <w:lang w:val="en-US" w:eastAsia="en-GB"/>
              </w:rPr>
            </w:pPr>
            <w:r w:rsidRPr="00B00452">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EE8B4"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1.85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20F77"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1.33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1B682C6A"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2.05</w:t>
            </w:r>
          </w:p>
        </w:tc>
        <w:tc>
          <w:tcPr>
            <w:tcW w:w="1320" w:type="dxa"/>
            <w:tcBorders>
              <w:top w:val="single" w:sz="6" w:space="0" w:color="000000"/>
              <w:left w:val="single" w:sz="12" w:space="0" w:color="000000"/>
              <w:bottom w:val="single" w:sz="12" w:space="0" w:color="000000"/>
              <w:right w:val="single" w:sz="12" w:space="0" w:color="000000"/>
            </w:tcBorders>
            <w:tcMar>
              <w:top w:w="60" w:type="dxa"/>
              <w:left w:w="60" w:type="dxa"/>
              <w:bottom w:w="60" w:type="dxa"/>
              <w:right w:w="60" w:type="dxa"/>
            </w:tcMar>
            <w:hideMark/>
          </w:tcPr>
          <w:p w14:paraId="067C8C5E" w14:textId="77777777" w:rsidR="00B00452" w:rsidRPr="00B00452" w:rsidRDefault="00B00452" w:rsidP="00B00452">
            <w:pPr>
              <w:spacing w:after="0"/>
              <w:rPr>
                <w:sz w:val="24"/>
                <w:szCs w:val="24"/>
                <w:lang w:val="en-US" w:eastAsia="en-GB"/>
              </w:rPr>
            </w:pPr>
            <w:r w:rsidRPr="00B00452">
              <w:rPr>
                <w:rFonts w:ascii="Helvetica Neue" w:hAnsi="Helvetica Neue"/>
                <w:color w:val="000000"/>
                <w:sz w:val="15"/>
                <w:szCs w:val="15"/>
                <w:lang w:val="en-US" w:eastAsia="en-GB"/>
              </w:rPr>
              <w:t>1.74</w:t>
            </w:r>
          </w:p>
        </w:tc>
      </w:tr>
    </w:tbl>
    <w:p w14:paraId="3031A7D7" w14:textId="77777777" w:rsidR="00B00452" w:rsidRPr="00BE6B71" w:rsidRDefault="00B00452" w:rsidP="000847C8">
      <w:pPr>
        <w:rPr>
          <w:lang w:val="en-US"/>
        </w:rPr>
      </w:pPr>
    </w:p>
    <w:p w14:paraId="431A6720" w14:textId="016DBECF" w:rsidR="00B00452" w:rsidRPr="00BE6B71" w:rsidRDefault="00BE6B71" w:rsidP="00410DCC">
      <w:pPr>
        <w:jc w:val="both"/>
        <w:rPr>
          <w:lang w:val="en-US"/>
        </w:rPr>
      </w:pPr>
      <w:r w:rsidRPr="00BE6B71">
        <w:rPr>
          <w:lang w:val="en-US"/>
        </w:rPr>
        <w:t>The delta net-gain is found in Table A5 and A6. Calculation of delta net-gain is described in section 2.</w:t>
      </w:r>
    </w:p>
    <w:p w14:paraId="1658D350" w14:textId="5998E8FB" w:rsidR="00BE6B71" w:rsidRPr="00BE6B71" w:rsidRDefault="00BE6B71" w:rsidP="00BE6B71">
      <w:pPr>
        <w:tabs>
          <w:tab w:val="left" w:pos="3809"/>
        </w:tabs>
        <w:spacing w:after="60"/>
        <w:jc w:val="center"/>
        <w:rPr>
          <w:lang w:val="en-US"/>
        </w:rPr>
      </w:pPr>
      <w:r w:rsidRPr="00BE6B71">
        <w:rPr>
          <w:lang w:val="en-US"/>
        </w:rPr>
        <w:t>Table A</w:t>
      </w:r>
      <w:r>
        <w:rPr>
          <w:lang w:val="en-US"/>
        </w:rPr>
        <w:t>5</w:t>
      </w:r>
      <w:r w:rsidRPr="00BE6B71">
        <w:rPr>
          <w:lang w:val="en-US"/>
        </w:rPr>
        <w:t>: Delta Net-Gain - Inner Allocations (comparison between FDSS-SE and TS)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BE6B71" w:rsidRPr="00BE6B71" w14:paraId="6C40D165"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2847F01"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008F580"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2BEE273"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20024367"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11E07DA5"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Average</w:t>
            </w:r>
          </w:p>
        </w:tc>
      </w:tr>
      <w:tr w:rsidR="00BE6B71" w:rsidRPr="00BE6B71" w14:paraId="662B5595"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AE0136"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712F49"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0.47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FE5F9"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1.03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54967538"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-0.12</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2B1BD79C"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0.46</w:t>
            </w:r>
          </w:p>
        </w:tc>
      </w:tr>
      <w:tr w:rsidR="00BE6B71" w:rsidRPr="00BE6B71" w14:paraId="27AC9232"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7F3422"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FFD19E"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0.87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198F5C"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0.02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399DAB04" w14:textId="77777777" w:rsidR="00BE6B71" w:rsidRPr="00BE6B71" w:rsidRDefault="00BE6B71" w:rsidP="00BE6B71">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0B69630"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0.44</w:t>
            </w:r>
          </w:p>
        </w:tc>
      </w:tr>
      <w:tr w:rsidR="00BE6B71" w:rsidRPr="00BE6B71" w14:paraId="56D16243"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714B3A"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5FB959"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0.97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67DE6"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0.43</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7F28B00D" w14:textId="77777777" w:rsidR="00BE6B71" w:rsidRPr="00BE6B71" w:rsidRDefault="00BE6B71" w:rsidP="00BE6B71">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56F6D836"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0.70</w:t>
            </w:r>
          </w:p>
        </w:tc>
      </w:tr>
      <w:tr w:rsidR="00BE6B71" w:rsidRPr="00BE6B71" w14:paraId="29F655D8" w14:textId="77777777" w:rsidTr="00BE6B7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B38B97"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F053C"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0.56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789F6B"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0.92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2788B6CC" w14:textId="77777777" w:rsidR="00BE6B71" w:rsidRPr="00BE6B71" w:rsidRDefault="00BE6B71" w:rsidP="00BE6B71">
            <w:pPr>
              <w:spacing w:after="0"/>
              <w:rPr>
                <w:rFonts w:ascii="Helvetica" w:hAnsi="Helvetica"/>
                <w:sz w:val="18"/>
                <w:szCs w:val="18"/>
                <w:lang w:val="en-US"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2D96B4E"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0.74</w:t>
            </w:r>
          </w:p>
        </w:tc>
      </w:tr>
      <w:tr w:rsidR="00BE6B71" w:rsidRPr="00BE6B71" w14:paraId="6FCF35CA"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A481662" w14:textId="77777777" w:rsidR="00BE6B71" w:rsidRPr="00BE6B71" w:rsidRDefault="00BE6B71" w:rsidP="00BE6B71">
            <w:pPr>
              <w:spacing w:after="0"/>
              <w:rPr>
                <w:sz w:val="24"/>
                <w:szCs w:val="24"/>
                <w:lang w:val="en-US" w:eastAsia="en-GB"/>
              </w:rPr>
            </w:pPr>
            <w:r w:rsidRPr="00BE6B71">
              <w:rPr>
                <w:rFonts w:ascii="Helvetica Neue" w:hAnsi="Helvetica Neue"/>
                <w:b/>
                <w:bCs/>
                <w:color w:val="000000"/>
                <w:sz w:val="15"/>
                <w:szCs w:val="15"/>
                <w:lang w:val="en-US"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FA26A"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0.73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69D2B"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0.41</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4CD83A3C"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-0.54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1E3EF1CE" w14:textId="77777777" w:rsidR="00BE6B71" w:rsidRPr="00BE6B71" w:rsidRDefault="00BE6B71" w:rsidP="00BE6B71">
            <w:pPr>
              <w:spacing w:after="0"/>
              <w:rPr>
                <w:sz w:val="24"/>
                <w:szCs w:val="24"/>
                <w:lang w:val="en-US" w:eastAsia="en-GB"/>
              </w:rPr>
            </w:pPr>
            <w:r w:rsidRPr="00BE6B71">
              <w:rPr>
                <w:rFonts w:ascii="Helvetica Neue" w:hAnsi="Helvetica Neue"/>
                <w:color w:val="000000"/>
                <w:sz w:val="15"/>
                <w:szCs w:val="15"/>
                <w:lang w:val="en-US" w:eastAsia="en-GB"/>
              </w:rPr>
              <w:t>0.20</w:t>
            </w:r>
          </w:p>
        </w:tc>
      </w:tr>
    </w:tbl>
    <w:p w14:paraId="0F66F549" w14:textId="77777777" w:rsidR="00BE6B71" w:rsidRDefault="00BE6B71" w:rsidP="00BE6B71">
      <w:pPr>
        <w:tabs>
          <w:tab w:val="left" w:pos="3809"/>
        </w:tabs>
        <w:spacing w:after="60"/>
        <w:jc w:val="center"/>
        <w:rPr>
          <w:lang w:val="en-US"/>
        </w:rPr>
      </w:pPr>
    </w:p>
    <w:p w14:paraId="64E7EC1E" w14:textId="0DE3069A" w:rsidR="000847C8" w:rsidRPr="00BE6B71" w:rsidRDefault="00BE6B71" w:rsidP="00BE6B71">
      <w:pPr>
        <w:tabs>
          <w:tab w:val="left" w:pos="3809"/>
        </w:tabs>
        <w:spacing w:after="60"/>
        <w:jc w:val="center"/>
        <w:rPr>
          <w:lang w:val="en-US"/>
        </w:rPr>
      </w:pPr>
      <w:r w:rsidRPr="00BE6B71">
        <w:rPr>
          <w:lang w:val="en-US"/>
        </w:rPr>
        <w:t>Table A</w:t>
      </w:r>
      <w:r>
        <w:rPr>
          <w:lang w:val="en-US"/>
        </w:rPr>
        <w:t>6</w:t>
      </w:r>
      <w:r w:rsidRPr="00BE6B71">
        <w:rPr>
          <w:lang w:val="en-US"/>
        </w:rPr>
        <w:t xml:space="preserve">: Delta Net-Gain - </w:t>
      </w:r>
      <w:r>
        <w:rPr>
          <w:lang w:val="en-US"/>
        </w:rPr>
        <w:t>Outer</w:t>
      </w:r>
      <w:r w:rsidRPr="00BE6B71">
        <w:rPr>
          <w:lang w:val="en-US"/>
        </w:rPr>
        <w:t xml:space="preserve"> Allocations (comparison between FDSS-SE and TS) (4GHz)</w:t>
      </w:r>
    </w:p>
    <w:tbl>
      <w:tblPr>
        <w:tblW w:w="0" w:type="auto"/>
        <w:jc w:val="center"/>
        <w:tblCellMar>
          <w:left w:w="0" w:type="dxa"/>
          <w:right w:w="0" w:type="dxa"/>
        </w:tblCellMar>
        <w:tblLook w:val="04A0" w:firstRow="1" w:lastRow="0" w:firstColumn="1" w:lastColumn="0" w:noHBand="0" w:noVBand="1"/>
      </w:tblPr>
      <w:tblGrid>
        <w:gridCol w:w="1335"/>
        <w:gridCol w:w="1335"/>
        <w:gridCol w:w="1335"/>
        <w:gridCol w:w="1335"/>
        <w:gridCol w:w="1320"/>
      </w:tblGrid>
      <w:tr w:rsidR="00BE6B71" w:rsidRPr="00BE6B71" w14:paraId="2335CC5F"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060D89C"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RB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E62A985"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Nokia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0E2CC9"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vivo</w:t>
            </w:r>
          </w:p>
        </w:tc>
        <w:tc>
          <w:tcPr>
            <w:tcW w:w="1335" w:type="dxa"/>
            <w:tcBorders>
              <w:top w:val="single" w:sz="6" w:space="0" w:color="000000"/>
              <w:left w:val="single" w:sz="6"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5CD8C9D9"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Ericsson</w:t>
            </w:r>
          </w:p>
        </w:tc>
        <w:tc>
          <w:tcPr>
            <w:tcW w:w="1320" w:type="dxa"/>
            <w:tcBorders>
              <w:top w:val="single" w:sz="12" w:space="0" w:color="000000"/>
              <w:left w:val="single" w:sz="12" w:space="0" w:color="000000"/>
              <w:bottom w:val="single" w:sz="6" w:space="0" w:color="000000"/>
              <w:right w:val="single" w:sz="12" w:space="0" w:color="000000"/>
            </w:tcBorders>
            <w:shd w:val="clear" w:color="auto" w:fill="B0B3B2"/>
            <w:tcMar>
              <w:top w:w="60" w:type="dxa"/>
              <w:left w:w="60" w:type="dxa"/>
              <w:bottom w:w="60" w:type="dxa"/>
              <w:right w:w="60" w:type="dxa"/>
            </w:tcMar>
            <w:hideMark/>
          </w:tcPr>
          <w:p w14:paraId="03C477D5"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Average</w:t>
            </w:r>
          </w:p>
        </w:tc>
      </w:tr>
      <w:tr w:rsidR="00BE6B71" w:rsidRPr="00BE6B71" w14:paraId="054722D5"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1EE0F82"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D5D482"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0.27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463062"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1.60</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11BAD913"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0.79</w:t>
            </w: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48266D97"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0.89</w:t>
            </w:r>
          </w:p>
        </w:tc>
      </w:tr>
      <w:tr w:rsidR="00BE6B71" w:rsidRPr="00BE6B71" w14:paraId="219E33D5"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5100B37"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16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AFB8C"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0.42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0F70A"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0.07</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4271F18E" w14:textId="77777777" w:rsidR="00BE6B71" w:rsidRPr="00BE6B71" w:rsidRDefault="00BE6B71" w:rsidP="00BE6B71">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284CB3E6"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0.24</w:t>
            </w:r>
          </w:p>
        </w:tc>
      </w:tr>
      <w:tr w:rsidR="00BE6B71" w:rsidRPr="00BE6B71" w14:paraId="65067A32"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D372B79"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24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BAA88"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0.83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9FAA0"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1.41</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5CB09015" w14:textId="77777777" w:rsidR="00BE6B71" w:rsidRPr="00BE6B71" w:rsidRDefault="00BE6B71" w:rsidP="00BE6B71">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7C946C2A"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1.12</w:t>
            </w:r>
          </w:p>
        </w:tc>
      </w:tr>
      <w:tr w:rsidR="00BE6B71" w:rsidRPr="00BE6B71" w14:paraId="3747CD3E" w14:textId="77777777" w:rsidTr="00BE6B71">
        <w:trPr>
          <w:trHeight w:val="180"/>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8AC294"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32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78F9E"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0.03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2D70CC" w14:textId="544E6A65" w:rsidR="00BE6B71" w:rsidRPr="008A2D77" w:rsidRDefault="00BE6B71" w:rsidP="00BE6B71">
            <w:pPr>
              <w:spacing w:after="0"/>
              <w:rPr>
                <w:sz w:val="24"/>
                <w:szCs w:val="24"/>
                <w:lang w:val="de-DE" w:eastAsia="en-GB"/>
              </w:rPr>
            </w:pPr>
            <w:r w:rsidRPr="00BE6B71">
              <w:rPr>
                <w:rFonts w:ascii="Helvetica Neue" w:hAnsi="Helvetica Neue"/>
                <w:color w:val="000000"/>
                <w:sz w:val="15"/>
                <w:szCs w:val="15"/>
                <w:lang w:val="en-DE" w:eastAsia="en-GB"/>
              </w:rPr>
              <w:t>0.</w:t>
            </w:r>
            <w:r w:rsidR="008A2D77">
              <w:rPr>
                <w:rFonts w:ascii="Helvetica Neue" w:hAnsi="Helvetica Neue"/>
                <w:color w:val="000000"/>
                <w:sz w:val="15"/>
                <w:szCs w:val="15"/>
                <w:lang w:val="de-DE" w:eastAsia="en-GB"/>
              </w:rPr>
              <w:t>72</w:t>
            </w:r>
          </w:p>
        </w:tc>
        <w:tc>
          <w:tcPr>
            <w:tcW w:w="1335" w:type="dxa"/>
            <w:tcBorders>
              <w:top w:val="single" w:sz="6" w:space="0" w:color="000000"/>
              <w:left w:val="single" w:sz="6" w:space="0" w:color="000000"/>
              <w:bottom w:val="single" w:sz="6" w:space="0" w:color="000000"/>
              <w:right w:val="single" w:sz="12" w:space="0" w:color="000000"/>
            </w:tcBorders>
            <w:shd w:val="clear" w:color="auto" w:fill="CCCCCC"/>
            <w:tcMar>
              <w:top w:w="60" w:type="dxa"/>
              <w:left w:w="60" w:type="dxa"/>
              <w:bottom w:w="60" w:type="dxa"/>
              <w:right w:w="60" w:type="dxa"/>
            </w:tcMar>
            <w:hideMark/>
          </w:tcPr>
          <w:p w14:paraId="664D1820" w14:textId="77777777" w:rsidR="00BE6B71" w:rsidRPr="00BE6B71" w:rsidRDefault="00BE6B71" w:rsidP="00BE6B71">
            <w:pPr>
              <w:spacing w:after="0"/>
              <w:rPr>
                <w:rFonts w:ascii="Helvetica" w:hAnsi="Helvetica"/>
                <w:sz w:val="18"/>
                <w:szCs w:val="18"/>
                <w:lang w:val="en-DE" w:eastAsia="en-GB"/>
              </w:rPr>
            </w:pPr>
          </w:p>
        </w:tc>
        <w:tc>
          <w:tcPr>
            <w:tcW w:w="1320" w:type="dxa"/>
            <w:tcBorders>
              <w:top w:val="single" w:sz="6" w:space="0" w:color="000000"/>
              <w:left w:val="single" w:sz="12" w:space="0" w:color="000000"/>
              <w:bottom w:val="single" w:sz="6" w:space="0" w:color="000000"/>
              <w:right w:val="single" w:sz="12" w:space="0" w:color="000000"/>
            </w:tcBorders>
            <w:shd w:val="clear" w:color="auto" w:fill="FFF046"/>
            <w:tcMar>
              <w:top w:w="60" w:type="dxa"/>
              <w:left w:w="60" w:type="dxa"/>
              <w:bottom w:w="60" w:type="dxa"/>
              <w:right w:w="60" w:type="dxa"/>
            </w:tcMar>
            <w:hideMark/>
          </w:tcPr>
          <w:p w14:paraId="36A3718C" w14:textId="49950169"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w:t>
            </w:r>
            <w:r w:rsidR="008A2D77">
              <w:rPr>
                <w:rFonts w:ascii="Helvetica Neue" w:hAnsi="Helvetica Neue"/>
                <w:color w:val="000000"/>
                <w:sz w:val="15"/>
                <w:szCs w:val="15"/>
                <w:lang w:val="de-DE" w:eastAsia="en-GB"/>
              </w:rPr>
              <w:t>3</w:t>
            </w:r>
            <w:r w:rsidRPr="00BE6B71">
              <w:rPr>
                <w:rFonts w:ascii="Helvetica Neue" w:hAnsi="Helvetica Neue"/>
                <w:color w:val="000000"/>
                <w:sz w:val="15"/>
                <w:szCs w:val="15"/>
                <w:lang w:val="en-DE" w:eastAsia="en-GB"/>
              </w:rPr>
              <w:t>8</w:t>
            </w:r>
          </w:p>
        </w:tc>
      </w:tr>
      <w:tr w:rsidR="00BE6B71" w:rsidRPr="00BE6B71" w14:paraId="1E1D5861" w14:textId="77777777" w:rsidTr="00BE6B71">
        <w:trPr>
          <w:trHeight w:val="165"/>
          <w:jc w:val="center"/>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99A501" w14:textId="77777777" w:rsidR="00BE6B71" w:rsidRPr="00BE6B71" w:rsidRDefault="00BE6B71" w:rsidP="00BE6B71">
            <w:pPr>
              <w:spacing w:after="0"/>
              <w:rPr>
                <w:sz w:val="24"/>
                <w:szCs w:val="24"/>
                <w:lang w:val="en-DE" w:eastAsia="en-GB"/>
              </w:rPr>
            </w:pPr>
            <w:r w:rsidRPr="00BE6B71">
              <w:rPr>
                <w:rFonts w:ascii="Helvetica Neue" w:hAnsi="Helvetica Neue"/>
                <w:b/>
                <w:bCs/>
                <w:color w:val="000000"/>
                <w:sz w:val="15"/>
                <w:szCs w:val="15"/>
                <w:lang w:val="en-DE" w:eastAsia="en-GB"/>
              </w:rPr>
              <w:t>40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5BFD45"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0.43</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FF4BD"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1.33</w:t>
            </w:r>
          </w:p>
        </w:tc>
        <w:tc>
          <w:tcPr>
            <w:tcW w:w="1335" w:type="dxa"/>
            <w:tcBorders>
              <w:top w:val="single" w:sz="6" w:space="0" w:color="000000"/>
              <w:left w:val="single" w:sz="6" w:space="0" w:color="000000"/>
              <w:bottom w:val="single" w:sz="6" w:space="0" w:color="000000"/>
              <w:right w:val="single" w:sz="12" w:space="0" w:color="000000"/>
            </w:tcBorders>
            <w:tcMar>
              <w:top w:w="60" w:type="dxa"/>
              <w:left w:w="60" w:type="dxa"/>
              <w:bottom w:w="60" w:type="dxa"/>
              <w:right w:w="60" w:type="dxa"/>
            </w:tcMar>
            <w:hideMark/>
          </w:tcPr>
          <w:p w14:paraId="742CEB19"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1.34</w:t>
            </w:r>
          </w:p>
        </w:tc>
        <w:tc>
          <w:tcPr>
            <w:tcW w:w="1320" w:type="dxa"/>
            <w:tcBorders>
              <w:top w:val="single" w:sz="6" w:space="0" w:color="000000"/>
              <w:left w:val="single" w:sz="12" w:space="0" w:color="000000"/>
              <w:bottom w:val="single" w:sz="12" w:space="0" w:color="000000"/>
              <w:right w:val="single" w:sz="12" w:space="0" w:color="000000"/>
            </w:tcBorders>
            <w:shd w:val="clear" w:color="auto" w:fill="FFF046"/>
            <w:tcMar>
              <w:top w:w="60" w:type="dxa"/>
              <w:left w:w="60" w:type="dxa"/>
              <w:bottom w:w="60" w:type="dxa"/>
              <w:right w:w="60" w:type="dxa"/>
            </w:tcMar>
            <w:hideMark/>
          </w:tcPr>
          <w:p w14:paraId="7A440268" w14:textId="77777777" w:rsidR="00BE6B71" w:rsidRPr="00BE6B71" w:rsidRDefault="00BE6B71" w:rsidP="00BE6B71">
            <w:pPr>
              <w:spacing w:after="0"/>
              <w:rPr>
                <w:sz w:val="24"/>
                <w:szCs w:val="24"/>
                <w:lang w:val="en-DE" w:eastAsia="en-GB"/>
              </w:rPr>
            </w:pPr>
            <w:r w:rsidRPr="00BE6B71">
              <w:rPr>
                <w:rFonts w:ascii="Helvetica Neue" w:hAnsi="Helvetica Neue"/>
                <w:color w:val="000000"/>
                <w:sz w:val="15"/>
                <w:szCs w:val="15"/>
                <w:lang w:val="en-DE" w:eastAsia="en-GB"/>
              </w:rPr>
              <w:t>1.03</w:t>
            </w:r>
          </w:p>
        </w:tc>
      </w:tr>
    </w:tbl>
    <w:p w14:paraId="3ADD3EFD" w14:textId="77777777" w:rsidR="001E30D0" w:rsidRDefault="001E30D0" w:rsidP="001E30D0">
      <w:pPr>
        <w:jc w:val="both"/>
        <w:rPr>
          <w:lang w:val="en-US"/>
        </w:rPr>
      </w:pPr>
    </w:p>
    <w:p w14:paraId="6A3DC9C3" w14:textId="40196E0E" w:rsidR="001E30D0" w:rsidRPr="00BE6B71" w:rsidRDefault="001E30D0" w:rsidP="001E30D0">
      <w:pPr>
        <w:jc w:val="both"/>
        <w:rPr>
          <w:lang w:val="en-US"/>
        </w:rPr>
      </w:pPr>
      <w:r>
        <w:rPr>
          <w:lang w:val="en-US"/>
        </w:rPr>
        <w:t>Using the results an average gain over all RB allocations is approximately 0.5</w:t>
      </w:r>
      <w:r w:rsidR="006A47AF">
        <w:rPr>
          <w:lang w:val="en-US"/>
        </w:rPr>
        <w:t>1</w:t>
      </w:r>
      <w:r>
        <w:rPr>
          <w:lang w:val="en-US"/>
        </w:rPr>
        <w:t>dB for inner allocations and approximately 0.7</w:t>
      </w:r>
      <w:r w:rsidR="002B6133">
        <w:rPr>
          <w:lang w:val="en-US"/>
        </w:rPr>
        <w:t>3</w:t>
      </w:r>
      <w:r>
        <w:rPr>
          <w:lang w:val="en-US"/>
        </w:rPr>
        <w:t>dB for outer allocations.</w:t>
      </w:r>
    </w:p>
    <w:p w14:paraId="2698F989" w14:textId="77777777" w:rsidR="00BE6B71" w:rsidRPr="00BE6B71" w:rsidRDefault="00BE6B71" w:rsidP="000847C8">
      <w:pPr>
        <w:rPr>
          <w:bCs/>
          <w:lang w:val="en-US"/>
        </w:rPr>
      </w:pPr>
    </w:p>
    <w:sectPr w:rsidR="00BE6B71" w:rsidRPr="00BE6B71" w:rsidSect="00845FB0">
      <w:headerReference w:type="default"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9ED9" w14:textId="77777777" w:rsidR="00EE29D0" w:rsidRDefault="00EE29D0">
      <w:r>
        <w:separator/>
      </w:r>
    </w:p>
  </w:endnote>
  <w:endnote w:type="continuationSeparator" w:id="0">
    <w:p w14:paraId="2EE0EC58" w14:textId="77777777" w:rsidR="00EE29D0" w:rsidRDefault="00EE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2676" w14:textId="77777777" w:rsidR="00EE29D0" w:rsidRDefault="00EE29D0">
      <w:r>
        <w:separator/>
      </w:r>
    </w:p>
  </w:footnote>
  <w:footnote w:type="continuationSeparator" w:id="0">
    <w:p w14:paraId="24C31370" w14:textId="77777777" w:rsidR="00EE29D0" w:rsidRDefault="00EE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20"/>
  </w:num>
  <w:num w:numId="3" w16cid:durableId="741414605">
    <w:abstractNumId w:val="24"/>
  </w:num>
  <w:num w:numId="4" w16cid:durableId="1374618814">
    <w:abstractNumId w:val="27"/>
  </w:num>
  <w:num w:numId="5" w16cid:durableId="291593093">
    <w:abstractNumId w:val="4"/>
  </w:num>
  <w:num w:numId="6" w16cid:durableId="1346176895">
    <w:abstractNumId w:val="18"/>
  </w:num>
  <w:num w:numId="7" w16cid:durableId="1125275318">
    <w:abstractNumId w:val="11"/>
  </w:num>
  <w:num w:numId="8" w16cid:durableId="1367101695">
    <w:abstractNumId w:val="26"/>
  </w:num>
  <w:num w:numId="9" w16cid:durableId="525749113">
    <w:abstractNumId w:val="28"/>
  </w:num>
  <w:num w:numId="10" w16cid:durableId="654914010">
    <w:abstractNumId w:val="13"/>
  </w:num>
  <w:num w:numId="11" w16cid:durableId="1729526819">
    <w:abstractNumId w:val="29"/>
  </w:num>
  <w:num w:numId="12" w16cid:durableId="279723833">
    <w:abstractNumId w:val="9"/>
  </w:num>
  <w:num w:numId="13" w16cid:durableId="977106823">
    <w:abstractNumId w:val="5"/>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5"/>
  </w:num>
  <w:num w:numId="19" w16cid:durableId="178659779">
    <w:abstractNumId w:val="7"/>
  </w:num>
  <w:num w:numId="20" w16cid:durableId="1596205917">
    <w:abstractNumId w:val="3"/>
  </w:num>
  <w:num w:numId="21" w16cid:durableId="1343314279">
    <w:abstractNumId w:val="23"/>
  </w:num>
  <w:num w:numId="22" w16cid:durableId="184055643">
    <w:abstractNumId w:val="19"/>
  </w:num>
  <w:num w:numId="23" w16cid:durableId="368455381">
    <w:abstractNumId w:val="22"/>
  </w:num>
  <w:num w:numId="24" w16cid:durableId="677930732">
    <w:abstractNumId w:val="14"/>
  </w:num>
  <w:num w:numId="25" w16cid:durableId="807279753">
    <w:abstractNumId w:val="6"/>
  </w:num>
  <w:num w:numId="26" w16cid:durableId="189026484">
    <w:abstractNumId w:val="16"/>
  </w:num>
  <w:num w:numId="27" w16cid:durableId="1040402460">
    <w:abstractNumId w:val="2"/>
  </w:num>
  <w:num w:numId="28" w16cid:durableId="1587618047">
    <w:abstractNumId w:val="21"/>
  </w:num>
  <w:num w:numId="29" w16cid:durableId="229661853">
    <w:abstractNumId w:val="17"/>
  </w:num>
  <w:num w:numId="30" w16cid:durableId="129316925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5DCE"/>
    <w:rsid w:val="00010A2B"/>
    <w:rsid w:val="000111D2"/>
    <w:rsid w:val="000114C9"/>
    <w:rsid w:val="0001187A"/>
    <w:rsid w:val="000132C5"/>
    <w:rsid w:val="000145DA"/>
    <w:rsid w:val="000146E2"/>
    <w:rsid w:val="00014EB2"/>
    <w:rsid w:val="0001543E"/>
    <w:rsid w:val="00015639"/>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47A"/>
    <w:rsid w:val="00035909"/>
    <w:rsid w:val="00035BDF"/>
    <w:rsid w:val="0003660B"/>
    <w:rsid w:val="00036F6A"/>
    <w:rsid w:val="0003726B"/>
    <w:rsid w:val="00037CC5"/>
    <w:rsid w:val="00040095"/>
    <w:rsid w:val="00040A7C"/>
    <w:rsid w:val="000413B7"/>
    <w:rsid w:val="00042474"/>
    <w:rsid w:val="000430B7"/>
    <w:rsid w:val="0004358A"/>
    <w:rsid w:val="00043DC0"/>
    <w:rsid w:val="00043E63"/>
    <w:rsid w:val="000442AB"/>
    <w:rsid w:val="00044D56"/>
    <w:rsid w:val="00046342"/>
    <w:rsid w:val="00046D66"/>
    <w:rsid w:val="00047862"/>
    <w:rsid w:val="00051834"/>
    <w:rsid w:val="00052794"/>
    <w:rsid w:val="0005328A"/>
    <w:rsid w:val="00053ADC"/>
    <w:rsid w:val="00054A22"/>
    <w:rsid w:val="00054E52"/>
    <w:rsid w:val="00056C93"/>
    <w:rsid w:val="00061661"/>
    <w:rsid w:val="0006182F"/>
    <w:rsid w:val="00062023"/>
    <w:rsid w:val="00062366"/>
    <w:rsid w:val="00062598"/>
    <w:rsid w:val="00063179"/>
    <w:rsid w:val="00063ACC"/>
    <w:rsid w:val="00063B53"/>
    <w:rsid w:val="000648EB"/>
    <w:rsid w:val="00064AC2"/>
    <w:rsid w:val="000655A6"/>
    <w:rsid w:val="000666BF"/>
    <w:rsid w:val="00066AF6"/>
    <w:rsid w:val="0006747A"/>
    <w:rsid w:val="00067AE8"/>
    <w:rsid w:val="00070479"/>
    <w:rsid w:val="0007069A"/>
    <w:rsid w:val="000714B9"/>
    <w:rsid w:val="000716B4"/>
    <w:rsid w:val="000721B0"/>
    <w:rsid w:val="0007284F"/>
    <w:rsid w:val="00072B00"/>
    <w:rsid w:val="00073CFC"/>
    <w:rsid w:val="00073D10"/>
    <w:rsid w:val="00073D3F"/>
    <w:rsid w:val="00074115"/>
    <w:rsid w:val="00075F87"/>
    <w:rsid w:val="00076E7B"/>
    <w:rsid w:val="00077F30"/>
    <w:rsid w:val="00080512"/>
    <w:rsid w:val="0008110D"/>
    <w:rsid w:val="00081A6D"/>
    <w:rsid w:val="00083654"/>
    <w:rsid w:val="000847C8"/>
    <w:rsid w:val="000849E4"/>
    <w:rsid w:val="00084B14"/>
    <w:rsid w:val="0008619B"/>
    <w:rsid w:val="000861A9"/>
    <w:rsid w:val="00086383"/>
    <w:rsid w:val="00086B15"/>
    <w:rsid w:val="000871F7"/>
    <w:rsid w:val="00087309"/>
    <w:rsid w:val="000875A4"/>
    <w:rsid w:val="00087C5D"/>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A48"/>
    <w:rsid w:val="000B5C4E"/>
    <w:rsid w:val="000B5DA3"/>
    <w:rsid w:val="000B6290"/>
    <w:rsid w:val="000C034B"/>
    <w:rsid w:val="000C1826"/>
    <w:rsid w:val="000C2025"/>
    <w:rsid w:val="000C3785"/>
    <w:rsid w:val="000C44C0"/>
    <w:rsid w:val="000C47C3"/>
    <w:rsid w:val="000C6231"/>
    <w:rsid w:val="000C74B0"/>
    <w:rsid w:val="000C77E7"/>
    <w:rsid w:val="000D0160"/>
    <w:rsid w:val="000D03C1"/>
    <w:rsid w:val="000D1C59"/>
    <w:rsid w:val="000D285C"/>
    <w:rsid w:val="000D2BDD"/>
    <w:rsid w:val="000D2E76"/>
    <w:rsid w:val="000D301C"/>
    <w:rsid w:val="000D3E07"/>
    <w:rsid w:val="000D4517"/>
    <w:rsid w:val="000D58AB"/>
    <w:rsid w:val="000D6DAB"/>
    <w:rsid w:val="000D6EE8"/>
    <w:rsid w:val="000D6EF5"/>
    <w:rsid w:val="000E0223"/>
    <w:rsid w:val="000E1F49"/>
    <w:rsid w:val="000E2A25"/>
    <w:rsid w:val="000E46A4"/>
    <w:rsid w:val="000E59EC"/>
    <w:rsid w:val="000E5A4C"/>
    <w:rsid w:val="000F0311"/>
    <w:rsid w:val="000F05FD"/>
    <w:rsid w:val="000F3036"/>
    <w:rsid w:val="000F3654"/>
    <w:rsid w:val="000F4A98"/>
    <w:rsid w:val="000F4B54"/>
    <w:rsid w:val="000F50C4"/>
    <w:rsid w:val="000F5901"/>
    <w:rsid w:val="000F59A9"/>
    <w:rsid w:val="000F7033"/>
    <w:rsid w:val="00100133"/>
    <w:rsid w:val="00101094"/>
    <w:rsid w:val="001014EA"/>
    <w:rsid w:val="00101CD8"/>
    <w:rsid w:val="001032BC"/>
    <w:rsid w:val="00103CC8"/>
    <w:rsid w:val="0010471C"/>
    <w:rsid w:val="00104BC6"/>
    <w:rsid w:val="00104D53"/>
    <w:rsid w:val="00105283"/>
    <w:rsid w:val="001064E7"/>
    <w:rsid w:val="0010739B"/>
    <w:rsid w:val="0010756C"/>
    <w:rsid w:val="0011022F"/>
    <w:rsid w:val="0011088B"/>
    <w:rsid w:val="00110B68"/>
    <w:rsid w:val="00110D46"/>
    <w:rsid w:val="0011169A"/>
    <w:rsid w:val="00112C28"/>
    <w:rsid w:val="00112CA6"/>
    <w:rsid w:val="00114E2C"/>
    <w:rsid w:val="00115059"/>
    <w:rsid w:val="00115129"/>
    <w:rsid w:val="00116E0B"/>
    <w:rsid w:val="00116E0D"/>
    <w:rsid w:val="001209CE"/>
    <w:rsid w:val="001228CA"/>
    <w:rsid w:val="001230EC"/>
    <w:rsid w:val="00126CA6"/>
    <w:rsid w:val="00131163"/>
    <w:rsid w:val="001314C7"/>
    <w:rsid w:val="001316D7"/>
    <w:rsid w:val="00131BA3"/>
    <w:rsid w:val="00133525"/>
    <w:rsid w:val="00136021"/>
    <w:rsid w:val="00140641"/>
    <w:rsid w:val="00140B3F"/>
    <w:rsid w:val="00141DDF"/>
    <w:rsid w:val="001431E1"/>
    <w:rsid w:val="0014470E"/>
    <w:rsid w:val="00144FEC"/>
    <w:rsid w:val="00145518"/>
    <w:rsid w:val="0014598F"/>
    <w:rsid w:val="00146F6E"/>
    <w:rsid w:val="001514B8"/>
    <w:rsid w:val="00152495"/>
    <w:rsid w:val="00152726"/>
    <w:rsid w:val="00153A6D"/>
    <w:rsid w:val="00153B77"/>
    <w:rsid w:val="0015405E"/>
    <w:rsid w:val="00154854"/>
    <w:rsid w:val="001552F7"/>
    <w:rsid w:val="00155597"/>
    <w:rsid w:val="00155BD8"/>
    <w:rsid w:val="00156509"/>
    <w:rsid w:val="0015767B"/>
    <w:rsid w:val="00157864"/>
    <w:rsid w:val="00160C2A"/>
    <w:rsid w:val="001614E1"/>
    <w:rsid w:val="00161A9C"/>
    <w:rsid w:val="00162F93"/>
    <w:rsid w:val="0016378A"/>
    <w:rsid w:val="00163A89"/>
    <w:rsid w:val="00163A9B"/>
    <w:rsid w:val="00164651"/>
    <w:rsid w:val="00164CCE"/>
    <w:rsid w:val="00164D10"/>
    <w:rsid w:val="00165910"/>
    <w:rsid w:val="0016634F"/>
    <w:rsid w:val="00166D4B"/>
    <w:rsid w:val="0016708D"/>
    <w:rsid w:val="00167274"/>
    <w:rsid w:val="00171194"/>
    <w:rsid w:val="00171497"/>
    <w:rsid w:val="00171B5B"/>
    <w:rsid w:val="00173B76"/>
    <w:rsid w:val="00173E53"/>
    <w:rsid w:val="001765DB"/>
    <w:rsid w:val="00176C55"/>
    <w:rsid w:val="00176D38"/>
    <w:rsid w:val="00177130"/>
    <w:rsid w:val="00177347"/>
    <w:rsid w:val="00177BF7"/>
    <w:rsid w:val="00180A87"/>
    <w:rsid w:val="0018274E"/>
    <w:rsid w:val="0018295B"/>
    <w:rsid w:val="00183165"/>
    <w:rsid w:val="00183737"/>
    <w:rsid w:val="0018535B"/>
    <w:rsid w:val="00185DA0"/>
    <w:rsid w:val="001868A4"/>
    <w:rsid w:val="001875B9"/>
    <w:rsid w:val="001912D4"/>
    <w:rsid w:val="00192DE7"/>
    <w:rsid w:val="00193FD4"/>
    <w:rsid w:val="001940D3"/>
    <w:rsid w:val="001941CA"/>
    <w:rsid w:val="00194E12"/>
    <w:rsid w:val="00194F3B"/>
    <w:rsid w:val="00195224"/>
    <w:rsid w:val="00195827"/>
    <w:rsid w:val="00197DBE"/>
    <w:rsid w:val="001A0256"/>
    <w:rsid w:val="001A0787"/>
    <w:rsid w:val="001A0988"/>
    <w:rsid w:val="001A2096"/>
    <w:rsid w:val="001A2AA4"/>
    <w:rsid w:val="001A4943"/>
    <w:rsid w:val="001A4C42"/>
    <w:rsid w:val="001A4E68"/>
    <w:rsid w:val="001A4F02"/>
    <w:rsid w:val="001A630D"/>
    <w:rsid w:val="001A6573"/>
    <w:rsid w:val="001A6CC6"/>
    <w:rsid w:val="001B0535"/>
    <w:rsid w:val="001B21FB"/>
    <w:rsid w:val="001B322F"/>
    <w:rsid w:val="001B39C0"/>
    <w:rsid w:val="001B46AA"/>
    <w:rsid w:val="001B5788"/>
    <w:rsid w:val="001B6EAE"/>
    <w:rsid w:val="001C071F"/>
    <w:rsid w:val="001C1220"/>
    <w:rsid w:val="001C146B"/>
    <w:rsid w:val="001C21C3"/>
    <w:rsid w:val="001C24B5"/>
    <w:rsid w:val="001C2FEA"/>
    <w:rsid w:val="001C302E"/>
    <w:rsid w:val="001C54B3"/>
    <w:rsid w:val="001C5C96"/>
    <w:rsid w:val="001C66AA"/>
    <w:rsid w:val="001C7322"/>
    <w:rsid w:val="001C7809"/>
    <w:rsid w:val="001D02C2"/>
    <w:rsid w:val="001D03D7"/>
    <w:rsid w:val="001D04A1"/>
    <w:rsid w:val="001D13F5"/>
    <w:rsid w:val="001D1A91"/>
    <w:rsid w:val="001D1F9D"/>
    <w:rsid w:val="001D26C7"/>
    <w:rsid w:val="001D5E72"/>
    <w:rsid w:val="001D7C1E"/>
    <w:rsid w:val="001D7DBE"/>
    <w:rsid w:val="001E2F65"/>
    <w:rsid w:val="001E30D0"/>
    <w:rsid w:val="001E4C53"/>
    <w:rsid w:val="001E674C"/>
    <w:rsid w:val="001E67AD"/>
    <w:rsid w:val="001F0012"/>
    <w:rsid w:val="001F04F9"/>
    <w:rsid w:val="001F0C1D"/>
    <w:rsid w:val="001F1132"/>
    <w:rsid w:val="001F168B"/>
    <w:rsid w:val="001F1C24"/>
    <w:rsid w:val="001F2513"/>
    <w:rsid w:val="001F2DAD"/>
    <w:rsid w:val="001F3C59"/>
    <w:rsid w:val="001F4987"/>
    <w:rsid w:val="001F55DF"/>
    <w:rsid w:val="001F6D59"/>
    <w:rsid w:val="001F7238"/>
    <w:rsid w:val="001F7F82"/>
    <w:rsid w:val="00200328"/>
    <w:rsid w:val="00203852"/>
    <w:rsid w:val="00203F71"/>
    <w:rsid w:val="00204095"/>
    <w:rsid w:val="00204C29"/>
    <w:rsid w:val="00205811"/>
    <w:rsid w:val="00205980"/>
    <w:rsid w:val="002061A9"/>
    <w:rsid w:val="00206FF5"/>
    <w:rsid w:val="0021106A"/>
    <w:rsid w:val="00211D07"/>
    <w:rsid w:val="002124DC"/>
    <w:rsid w:val="002139CD"/>
    <w:rsid w:val="002145EE"/>
    <w:rsid w:val="0021540E"/>
    <w:rsid w:val="002158FE"/>
    <w:rsid w:val="00215A11"/>
    <w:rsid w:val="00216C99"/>
    <w:rsid w:val="00217C8C"/>
    <w:rsid w:val="00217D7B"/>
    <w:rsid w:val="002206B8"/>
    <w:rsid w:val="002221BA"/>
    <w:rsid w:val="00222473"/>
    <w:rsid w:val="00226D0A"/>
    <w:rsid w:val="0023018E"/>
    <w:rsid w:val="00232AB1"/>
    <w:rsid w:val="00233B64"/>
    <w:rsid w:val="00233D56"/>
    <w:rsid w:val="002347A2"/>
    <w:rsid w:val="00234C52"/>
    <w:rsid w:val="00234DD8"/>
    <w:rsid w:val="00234F32"/>
    <w:rsid w:val="002351F2"/>
    <w:rsid w:val="00235C9A"/>
    <w:rsid w:val="00236924"/>
    <w:rsid w:val="002404D7"/>
    <w:rsid w:val="00241D43"/>
    <w:rsid w:val="00241E3D"/>
    <w:rsid w:val="00243DDD"/>
    <w:rsid w:val="00245595"/>
    <w:rsid w:val="00245EC7"/>
    <w:rsid w:val="00246D97"/>
    <w:rsid w:val="00247277"/>
    <w:rsid w:val="00247926"/>
    <w:rsid w:val="00251005"/>
    <w:rsid w:val="00251DA6"/>
    <w:rsid w:val="0025270B"/>
    <w:rsid w:val="002558CE"/>
    <w:rsid w:val="00255AE8"/>
    <w:rsid w:val="00255B0B"/>
    <w:rsid w:val="00255F72"/>
    <w:rsid w:val="00257B39"/>
    <w:rsid w:val="00261CC0"/>
    <w:rsid w:val="00264E84"/>
    <w:rsid w:val="0026539A"/>
    <w:rsid w:val="00265BAA"/>
    <w:rsid w:val="00266B46"/>
    <w:rsid w:val="00266E93"/>
    <w:rsid w:val="002675F0"/>
    <w:rsid w:val="002711F3"/>
    <w:rsid w:val="002714DE"/>
    <w:rsid w:val="00271594"/>
    <w:rsid w:val="00273FF7"/>
    <w:rsid w:val="00274D2E"/>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D02"/>
    <w:rsid w:val="00287B01"/>
    <w:rsid w:val="0029054B"/>
    <w:rsid w:val="002907FD"/>
    <w:rsid w:val="00290A65"/>
    <w:rsid w:val="00291D59"/>
    <w:rsid w:val="0029338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2D41"/>
    <w:rsid w:val="002B44FD"/>
    <w:rsid w:val="002B5467"/>
    <w:rsid w:val="002B6133"/>
    <w:rsid w:val="002B6339"/>
    <w:rsid w:val="002B688A"/>
    <w:rsid w:val="002B6DF9"/>
    <w:rsid w:val="002B70E5"/>
    <w:rsid w:val="002C0C4F"/>
    <w:rsid w:val="002C238E"/>
    <w:rsid w:val="002C2F95"/>
    <w:rsid w:val="002C4604"/>
    <w:rsid w:val="002C4C0C"/>
    <w:rsid w:val="002C6A2D"/>
    <w:rsid w:val="002C6B80"/>
    <w:rsid w:val="002C7B3F"/>
    <w:rsid w:val="002D0940"/>
    <w:rsid w:val="002D1D3F"/>
    <w:rsid w:val="002D1E25"/>
    <w:rsid w:val="002D1FA8"/>
    <w:rsid w:val="002D2E22"/>
    <w:rsid w:val="002D3BC5"/>
    <w:rsid w:val="002D4428"/>
    <w:rsid w:val="002D4678"/>
    <w:rsid w:val="002D5BCC"/>
    <w:rsid w:val="002D66F7"/>
    <w:rsid w:val="002D6F6F"/>
    <w:rsid w:val="002D7792"/>
    <w:rsid w:val="002E00EE"/>
    <w:rsid w:val="002E07CC"/>
    <w:rsid w:val="002E1E3C"/>
    <w:rsid w:val="002E210D"/>
    <w:rsid w:val="002E277A"/>
    <w:rsid w:val="002E27AA"/>
    <w:rsid w:val="002E2E62"/>
    <w:rsid w:val="002E36CF"/>
    <w:rsid w:val="002E389B"/>
    <w:rsid w:val="002E403F"/>
    <w:rsid w:val="002E4080"/>
    <w:rsid w:val="002E498B"/>
    <w:rsid w:val="002E5CF2"/>
    <w:rsid w:val="002E7F40"/>
    <w:rsid w:val="002F0900"/>
    <w:rsid w:val="002F2DD0"/>
    <w:rsid w:val="002F3960"/>
    <w:rsid w:val="002F4052"/>
    <w:rsid w:val="002F45A5"/>
    <w:rsid w:val="002F5280"/>
    <w:rsid w:val="002F6571"/>
    <w:rsid w:val="002F6DCE"/>
    <w:rsid w:val="002F6F2B"/>
    <w:rsid w:val="002F7647"/>
    <w:rsid w:val="00301792"/>
    <w:rsid w:val="00302805"/>
    <w:rsid w:val="00304FC5"/>
    <w:rsid w:val="00305920"/>
    <w:rsid w:val="003061E9"/>
    <w:rsid w:val="00306C73"/>
    <w:rsid w:val="003070DF"/>
    <w:rsid w:val="003102F2"/>
    <w:rsid w:val="00310E58"/>
    <w:rsid w:val="00311230"/>
    <w:rsid w:val="00312269"/>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3027C"/>
    <w:rsid w:val="00331C00"/>
    <w:rsid w:val="00331D89"/>
    <w:rsid w:val="00331D8F"/>
    <w:rsid w:val="00332C66"/>
    <w:rsid w:val="00332D73"/>
    <w:rsid w:val="003343B9"/>
    <w:rsid w:val="00335709"/>
    <w:rsid w:val="0033662D"/>
    <w:rsid w:val="003378AE"/>
    <w:rsid w:val="00340356"/>
    <w:rsid w:val="0034052F"/>
    <w:rsid w:val="00340838"/>
    <w:rsid w:val="00341312"/>
    <w:rsid w:val="00341CC5"/>
    <w:rsid w:val="00341FFA"/>
    <w:rsid w:val="0034305A"/>
    <w:rsid w:val="0034354B"/>
    <w:rsid w:val="00343A0D"/>
    <w:rsid w:val="00343ECF"/>
    <w:rsid w:val="0034417E"/>
    <w:rsid w:val="00344939"/>
    <w:rsid w:val="00344FFE"/>
    <w:rsid w:val="0034584C"/>
    <w:rsid w:val="00345D66"/>
    <w:rsid w:val="00345DDF"/>
    <w:rsid w:val="00345FF6"/>
    <w:rsid w:val="00346895"/>
    <w:rsid w:val="003473BA"/>
    <w:rsid w:val="0034751F"/>
    <w:rsid w:val="00347CE0"/>
    <w:rsid w:val="0035025E"/>
    <w:rsid w:val="00350942"/>
    <w:rsid w:val="00350D9B"/>
    <w:rsid w:val="00352E82"/>
    <w:rsid w:val="00353AD5"/>
    <w:rsid w:val="0035462D"/>
    <w:rsid w:val="00354868"/>
    <w:rsid w:val="00355AAB"/>
    <w:rsid w:val="00356878"/>
    <w:rsid w:val="0035717F"/>
    <w:rsid w:val="00357A83"/>
    <w:rsid w:val="00357CEC"/>
    <w:rsid w:val="00360790"/>
    <w:rsid w:val="00360AA9"/>
    <w:rsid w:val="00361696"/>
    <w:rsid w:val="003640D5"/>
    <w:rsid w:val="0036418C"/>
    <w:rsid w:val="0036443F"/>
    <w:rsid w:val="0036481F"/>
    <w:rsid w:val="003660B7"/>
    <w:rsid w:val="003667C0"/>
    <w:rsid w:val="00366EFA"/>
    <w:rsid w:val="00371382"/>
    <w:rsid w:val="00371AF5"/>
    <w:rsid w:val="00372638"/>
    <w:rsid w:val="0037264F"/>
    <w:rsid w:val="003731B1"/>
    <w:rsid w:val="00373345"/>
    <w:rsid w:val="00373475"/>
    <w:rsid w:val="00373592"/>
    <w:rsid w:val="003744B0"/>
    <w:rsid w:val="0037554F"/>
    <w:rsid w:val="00375555"/>
    <w:rsid w:val="00375FB8"/>
    <w:rsid w:val="0037610B"/>
    <w:rsid w:val="003765B8"/>
    <w:rsid w:val="003765C2"/>
    <w:rsid w:val="00376CD7"/>
    <w:rsid w:val="00377199"/>
    <w:rsid w:val="00380718"/>
    <w:rsid w:val="00381601"/>
    <w:rsid w:val="003819B3"/>
    <w:rsid w:val="003823AC"/>
    <w:rsid w:val="00383106"/>
    <w:rsid w:val="0038340B"/>
    <w:rsid w:val="00383BAA"/>
    <w:rsid w:val="00384260"/>
    <w:rsid w:val="00384862"/>
    <w:rsid w:val="0038687C"/>
    <w:rsid w:val="00386D90"/>
    <w:rsid w:val="00387858"/>
    <w:rsid w:val="003879EA"/>
    <w:rsid w:val="00391760"/>
    <w:rsid w:val="00391C5D"/>
    <w:rsid w:val="00391CB5"/>
    <w:rsid w:val="003920DF"/>
    <w:rsid w:val="00395D29"/>
    <w:rsid w:val="00396919"/>
    <w:rsid w:val="003A0483"/>
    <w:rsid w:val="003A07B8"/>
    <w:rsid w:val="003A086F"/>
    <w:rsid w:val="003A1E2E"/>
    <w:rsid w:val="003A2C7B"/>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8F3"/>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7753"/>
    <w:rsid w:val="003E7E59"/>
    <w:rsid w:val="003F019F"/>
    <w:rsid w:val="003F0947"/>
    <w:rsid w:val="003F1853"/>
    <w:rsid w:val="003F1D5B"/>
    <w:rsid w:val="003F39BE"/>
    <w:rsid w:val="003F4CC8"/>
    <w:rsid w:val="003F4D44"/>
    <w:rsid w:val="003F6264"/>
    <w:rsid w:val="003F6AAB"/>
    <w:rsid w:val="003F735E"/>
    <w:rsid w:val="003F7B7E"/>
    <w:rsid w:val="004001B4"/>
    <w:rsid w:val="00400FB7"/>
    <w:rsid w:val="004029AB"/>
    <w:rsid w:val="00403DDB"/>
    <w:rsid w:val="00403EE3"/>
    <w:rsid w:val="00404014"/>
    <w:rsid w:val="004040C3"/>
    <w:rsid w:val="00404708"/>
    <w:rsid w:val="004050EA"/>
    <w:rsid w:val="0040534E"/>
    <w:rsid w:val="0040593B"/>
    <w:rsid w:val="004059B2"/>
    <w:rsid w:val="0040629F"/>
    <w:rsid w:val="00406750"/>
    <w:rsid w:val="00406E67"/>
    <w:rsid w:val="004074C0"/>
    <w:rsid w:val="00410053"/>
    <w:rsid w:val="004100A2"/>
    <w:rsid w:val="00410DCC"/>
    <w:rsid w:val="00410FBE"/>
    <w:rsid w:val="004116EB"/>
    <w:rsid w:val="00411989"/>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0ACB"/>
    <w:rsid w:val="0043171B"/>
    <w:rsid w:val="004318CB"/>
    <w:rsid w:val="00432379"/>
    <w:rsid w:val="00433797"/>
    <w:rsid w:val="00433FF6"/>
    <w:rsid w:val="00434540"/>
    <w:rsid w:val="004345EC"/>
    <w:rsid w:val="00434E69"/>
    <w:rsid w:val="0043541E"/>
    <w:rsid w:val="0043610D"/>
    <w:rsid w:val="0043690E"/>
    <w:rsid w:val="00436B3D"/>
    <w:rsid w:val="0043740C"/>
    <w:rsid w:val="00440234"/>
    <w:rsid w:val="004412F3"/>
    <w:rsid w:val="00441D71"/>
    <w:rsid w:val="004424EE"/>
    <w:rsid w:val="004424F4"/>
    <w:rsid w:val="00442ACD"/>
    <w:rsid w:val="00442DC2"/>
    <w:rsid w:val="00443070"/>
    <w:rsid w:val="00443B1F"/>
    <w:rsid w:val="004446F3"/>
    <w:rsid w:val="00444715"/>
    <w:rsid w:val="00444B82"/>
    <w:rsid w:val="0044503B"/>
    <w:rsid w:val="00445ED0"/>
    <w:rsid w:val="00447429"/>
    <w:rsid w:val="004479B3"/>
    <w:rsid w:val="004509C1"/>
    <w:rsid w:val="00450B2E"/>
    <w:rsid w:val="00450B63"/>
    <w:rsid w:val="00451091"/>
    <w:rsid w:val="0045165B"/>
    <w:rsid w:val="00452727"/>
    <w:rsid w:val="00455178"/>
    <w:rsid w:val="00455715"/>
    <w:rsid w:val="00456CF5"/>
    <w:rsid w:val="00456D2C"/>
    <w:rsid w:val="00457141"/>
    <w:rsid w:val="00457B37"/>
    <w:rsid w:val="00460045"/>
    <w:rsid w:val="004605B0"/>
    <w:rsid w:val="004634D0"/>
    <w:rsid w:val="004640F5"/>
    <w:rsid w:val="00464DE0"/>
    <w:rsid w:val="00465B61"/>
    <w:rsid w:val="004676AD"/>
    <w:rsid w:val="00467FFC"/>
    <w:rsid w:val="00470270"/>
    <w:rsid w:val="0047076F"/>
    <w:rsid w:val="00471049"/>
    <w:rsid w:val="0047139B"/>
    <w:rsid w:val="00471735"/>
    <w:rsid w:val="00471D58"/>
    <w:rsid w:val="00471DAE"/>
    <w:rsid w:val="00472499"/>
    <w:rsid w:val="004738C3"/>
    <w:rsid w:val="00473F4D"/>
    <w:rsid w:val="00474A18"/>
    <w:rsid w:val="00475923"/>
    <w:rsid w:val="004769BD"/>
    <w:rsid w:val="00477FCB"/>
    <w:rsid w:val="00480041"/>
    <w:rsid w:val="004801C2"/>
    <w:rsid w:val="0048104E"/>
    <w:rsid w:val="00481264"/>
    <w:rsid w:val="004826A9"/>
    <w:rsid w:val="00482AD8"/>
    <w:rsid w:val="004834B1"/>
    <w:rsid w:val="004837BD"/>
    <w:rsid w:val="004839C6"/>
    <w:rsid w:val="00483C8B"/>
    <w:rsid w:val="00484657"/>
    <w:rsid w:val="00484DEE"/>
    <w:rsid w:val="00484DFC"/>
    <w:rsid w:val="00485D56"/>
    <w:rsid w:val="00485FF7"/>
    <w:rsid w:val="0048693C"/>
    <w:rsid w:val="00486C56"/>
    <w:rsid w:val="00487194"/>
    <w:rsid w:val="0048761C"/>
    <w:rsid w:val="00492B0C"/>
    <w:rsid w:val="00492D20"/>
    <w:rsid w:val="00493346"/>
    <w:rsid w:val="00494571"/>
    <w:rsid w:val="00495AE6"/>
    <w:rsid w:val="00495C2C"/>
    <w:rsid w:val="00496011"/>
    <w:rsid w:val="00496ACE"/>
    <w:rsid w:val="00496C45"/>
    <w:rsid w:val="00496F4C"/>
    <w:rsid w:val="00497C12"/>
    <w:rsid w:val="004A009B"/>
    <w:rsid w:val="004A0EE0"/>
    <w:rsid w:val="004A21EB"/>
    <w:rsid w:val="004A22C7"/>
    <w:rsid w:val="004A33F5"/>
    <w:rsid w:val="004A3B47"/>
    <w:rsid w:val="004A3FB0"/>
    <w:rsid w:val="004A67E0"/>
    <w:rsid w:val="004B1311"/>
    <w:rsid w:val="004B2839"/>
    <w:rsid w:val="004B2E91"/>
    <w:rsid w:val="004B3610"/>
    <w:rsid w:val="004B3DF9"/>
    <w:rsid w:val="004B40A3"/>
    <w:rsid w:val="004B652B"/>
    <w:rsid w:val="004B6798"/>
    <w:rsid w:val="004B7258"/>
    <w:rsid w:val="004B7AF5"/>
    <w:rsid w:val="004C1601"/>
    <w:rsid w:val="004C1B4D"/>
    <w:rsid w:val="004C1CBF"/>
    <w:rsid w:val="004C22F1"/>
    <w:rsid w:val="004C2495"/>
    <w:rsid w:val="004C29E1"/>
    <w:rsid w:val="004C29E4"/>
    <w:rsid w:val="004C3099"/>
    <w:rsid w:val="004C3AF8"/>
    <w:rsid w:val="004C44DD"/>
    <w:rsid w:val="004C5414"/>
    <w:rsid w:val="004C5BBF"/>
    <w:rsid w:val="004C5BDF"/>
    <w:rsid w:val="004C6DAC"/>
    <w:rsid w:val="004C6E30"/>
    <w:rsid w:val="004C790A"/>
    <w:rsid w:val="004C799B"/>
    <w:rsid w:val="004C7B37"/>
    <w:rsid w:val="004C7CDB"/>
    <w:rsid w:val="004D14BA"/>
    <w:rsid w:val="004D16C9"/>
    <w:rsid w:val="004D3578"/>
    <w:rsid w:val="004D3827"/>
    <w:rsid w:val="004D4338"/>
    <w:rsid w:val="004D59D1"/>
    <w:rsid w:val="004D6678"/>
    <w:rsid w:val="004D7D06"/>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0F40"/>
    <w:rsid w:val="004F178B"/>
    <w:rsid w:val="004F24E4"/>
    <w:rsid w:val="004F29F1"/>
    <w:rsid w:val="004F3340"/>
    <w:rsid w:val="004F38B7"/>
    <w:rsid w:val="004F3E3D"/>
    <w:rsid w:val="004F4507"/>
    <w:rsid w:val="004F4C70"/>
    <w:rsid w:val="004F5942"/>
    <w:rsid w:val="004F5DD1"/>
    <w:rsid w:val="004F6270"/>
    <w:rsid w:val="004F6998"/>
    <w:rsid w:val="004F7454"/>
    <w:rsid w:val="004F7602"/>
    <w:rsid w:val="00500038"/>
    <w:rsid w:val="005002FD"/>
    <w:rsid w:val="00500407"/>
    <w:rsid w:val="005017D8"/>
    <w:rsid w:val="00502465"/>
    <w:rsid w:val="00502961"/>
    <w:rsid w:val="0050313F"/>
    <w:rsid w:val="005048DF"/>
    <w:rsid w:val="005069FD"/>
    <w:rsid w:val="00507DA2"/>
    <w:rsid w:val="00511227"/>
    <w:rsid w:val="005117A5"/>
    <w:rsid w:val="00511811"/>
    <w:rsid w:val="00511B9F"/>
    <w:rsid w:val="00511CE1"/>
    <w:rsid w:val="00512BB3"/>
    <w:rsid w:val="00513FA9"/>
    <w:rsid w:val="005145E4"/>
    <w:rsid w:val="0051539E"/>
    <w:rsid w:val="00516EA3"/>
    <w:rsid w:val="005170F2"/>
    <w:rsid w:val="005172FE"/>
    <w:rsid w:val="00520CF3"/>
    <w:rsid w:val="00520D0E"/>
    <w:rsid w:val="005228BF"/>
    <w:rsid w:val="0052340E"/>
    <w:rsid w:val="005248E3"/>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12E"/>
    <w:rsid w:val="005435B5"/>
    <w:rsid w:val="00543CB4"/>
    <w:rsid w:val="00543D9E"/>
    <w:rsid w:val="00543E6C"/>
    <w:rsid w:val="0054422E"/>
    <w:rsid w:val="005455F7"/>
    <w:rsid w:val="00545860"/>
    <w:rsid w:val="00546DF1"/>
    <w:rsid w:val="005513D3"/>
    <w:rsid w:val="00552DD8"/>
    <w:rsid w:val="0055383C"/>
    <w:rsid w:val="00553947"/>
    <w:rsid w:val="0055434E"/>
    <w:rsid w:val="00554605"/>
    <w:rsid w:val="00554E84"/>
    <w:rsid w:val="00554FE1"/>
    <w:rsid w:val="00555723"/>
    <w:rsid w:val="00560943"/>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021"/>
    <w:rsid w:val="005771DA"/>
    <w:rsid w:val="00577EDD"/>
    <w:rsid w:val="00577FB6"/>
    <w:rsid w:val="00580C3D"/>
    <w:rsid w:val="005810E1"/>
    <w:rsid w:val="005821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A751B"/>
    <w:rsid w:val="005B0DCA"/>
    <w:rsid w:val="005B0EEF"/>
    <w:rsid w:val="005B1111"/>
    <w:rsid w:val="005B18A8"/>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B39"/>
    <w:rsid w:val="005D2E01"/>
    <w:rsid w:val="005D32A3"/>
    <w:rsid w:val="005D3B01"/>
    <w:rsid w:val="005D4815"/>
    <w:rsid w:val="005D4D97"/>
    <w:rsid w:val="005D5AE3"/>
    <w:rsid w:val="005D5FE0"/>
    <w:rsid w:val="005D6E3E"/>
    <w:rsid w:val="005D7526"/>
    <w:rsid w:val="005E0188"/>
    <w:rsid w:val="005E1B49"/>
    <w:rsid w:val="005E21F8"/>
    <w:rsid w:val="005E40C8"/>
    <w:rsid w:val="005E4D0C"/>
    <w:rsid w:val="005E6368"/>
    <w:rsid w:val="005E69AE"/>
    <w:rsid w:val="005E6C7E"/>
    <w:rsid w:val="005E6FF5"/>
    <w:rsid w:val="005E7850"/>
    <w:rsid w:val="005F0D93"/>
    <w:rsid w:val="005F2084"/>
    <w:rsid w:val="005F24FB"/>
    <w:rsid w:val="005F2795"/>
    <w:rsid w:val="005F3AB5"/>
    <w:rsid w:val="005F4A06"/>
    <w:rsid w:val="005F5250"/>
    <w:rsid w:val="005F59E5"/>
    <w:rsid w:val="005F62ED"/>
    <w:rsid w:val="005F6366"/>
    <w:rsid w:val="005F64D0"/>
    <w:rsid w:val="005F6F36"/>
    <w:rsid w:val="006002E3"/>
    <w:rsid w:val="006008B9"/>
    <w:rsid w:val="00601D80"/>
    <w:rsid w:val="00602582"/>
    <w:rsid w:val="00602AEA"/>
    <w:rsid w:val="00603331"/>
    <w:rsid w:val="0060544A"/>
    <w:rsid w:val="00606B25"/>
    <w:rsid w:val="006078BE"/>
    <w:rsid w:val="00607CD5"/>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1A4"/>
    <w:rsid w:val="006208C4"/>
    <w:rsid w:val="0062109D"/>
    <w:rsid w:val="006212AD"/>
    <w:rsid w:val="00623782"/>
    <w:rsid w:val="00623EF5"/>
    <w:rsid w:val="006246A7"/>
    <w:rsid w:val="0062595A"/>
    <w:rsid w:val="00630246"/>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2873"/>
    <w:rsid w:val="006432CB"/>
    <w:rsid w:val="006433FF"/>
    <w:rsid w:val="00645891"/>
    <w:rsid w:val="00646355"/>
    <w:rsid w:val="00646A2F"/>
    <w:rsid w:val="00646C49"/>
    <w:rsid w:val="00647114"/>
    <w:rsid w:val="00647DB5"/>
    <w:rsid w:val="0065057E"/>
    <w:rsid w:val="00650EC0"/>
    <w:rsid w:val="0065271E"/>
    <w:rsid w:val="006534B6"/>
    <w:rsid w:val="00653CB4"/>
    <w:rsid w:val="0065577E"/>
    <w:rsid w:val="006600BB"/>
    <w:rsid w:val="00660A69"/>
    <w:rsid w:val="00660C7B"/>
    <w:rsid w:val="00660F30"/>
    <w:rsid w:val="0066115B"/>
    <w:rsid w:val="00661381"/>
    <w:rsid w:val="00661FB8"/>
    <w:rsid w:val="00662190"/>
    <w:rsid w:val="0066246B"/>
    <w:rsid w:val="00665ED8"/>
    <w:rsid w:val="00666853"/>
    <w:rsid w:val="00666DAD"/>
    <w:rsid w:val="006701E5"/>
    <w:rsid w:val="00670259"/>
    <w:rsid w:val="00671396"/>
    <w:rsid w:val="00671F14"/>
    <w:rsid w:val="006730CB"/>
    <w:rsid w:val="0067392E"/>
    <w:rsid w:val="00675958"/>
    <w:rsid w:val="0067679B"/>
    <w:rsid w:val="00677B76"/>
    <w:rsid w:val="0068031C"/>
    <w:rsid w:val="0068130A"/>
    <w:rsid w:val="0068218B"/>
    <w:rsid w:val="00682EE7"/>
    <w:rsid w:val="00683644"/>
    <w:rsid w:val="006840FD"/>
    <w:rsid w:val="0068441B"/>
    <w:rsid w:val="006868CA"/>
    <w:rsid w:val="00687D23"/>
    <w:rsid w:val="00690AF8"/>
    <w:rsid w:val="006924FB"/>
    <w:rsid w:val="0069292B"/>
    <w:rsid w:val="00692BEF"/>
    <w:rsid w:val="00693F39"/>
    <w:rsid w:val="00694D30"/>
    <w:rsid w:val="006954E3"/>
    <w:rsid w:val="006961AC"/>
    <w:rsid w:val="0069691B"/>
    <w:rsid w:val="00696C83"/>
    <w:rsid w:val="00696CB8"/>
    <w:rsid w:val="00696D02"/>
    <w:rsid w:val="006974B3"/>
    <w:rsid w:val="0069795B"/>
    <w:rsid w:val="006A020F"/>
    <w:rsid w:val="006A0481"/>
    <w:rsid w:val="006A0B79"/>
    <w:rsid w:val="006A2A0F"/>
    <w:rsid w:val="006A2F7F"/>
    <w:rsid w:val="006A323F"/>
    <w:rsid w:val="006A3E12"/>
    <w:rsid w:val="006A4689"/>
    <w:rsid w:val="006A47AF"/>
    <w:rsid w:val="006A4A76"/>
    <w:rsid w:val="006A594E"/>
    <w:rsid w:val="006A5FDA"/>
    <w:rsid w:val="006A692B"/>
    <w:rsid w:val="006B17AC"/>
    <w:rsid w:val="006B20B7"/>
    <w:rsid w:val="006B30D0"/>
    <w:rsid w:val="006B3435"/>
    <w:rsid w:val="006B4574"/>
    <w:rsid w:val="006B4F97"/>
    <w:rsid w:val="006B5E6C"/>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0C95"/>
    <w:rsid w:val="006D1D51"/>
    <w:rsid w:val="006D1D8B"/>
    <w:rsid w:val="006D1FB0"/>
    <w:rsid w:val="006D2162"/>
    <w:rsid w:val="006D2201"/>
    <w:rsid w:val="006D3599"/>
    <w:rsid w:val="006D3DD3"/>
    <w:rsid w:val="006D5976"/>
    <w:rsid w:val="006D7098"/>
    <w:rsid w:val="006D77D7"/>
    <w:rsid w:val="006D7C64"/>
    <w:rsid w:val="006D7FF3"/>
    <w:rsid w:val="006E1323"/>
    <w:rsid w:val="006E1889"/>
    <w:rsid w:val="006E3BCE"/>
    <w:rsid w:val="006E439A"/>
    <w:rsid w:val="006E4732"/>
    <w:rsid w:val="006E4E1E"/>
    <w:rsid w:val="006E5023"/>
    <w:rsid w:val="006E5C86"/>
    <w:rsid w:val="006E6191"/>
    <w:rsid w:val="006E66DE"/>
    <w:rsid w:val="006E7AE4"/>
    <w:rsid w:val="006F1270"/>
    <w:rsid w:val="006F1FC9"/>
    <w:rsid w:val="006F35FD"/>
    <w:rsid w:val="006F37B1"/>
    <w:rsid w:val="006F3DC0"/>
    <w:rsid w:val="006F5A73"/>
    <w:rsid w:val="006F6768"/>
    <w:rsid w:val="006F7692"/>
    <w:rsid w:val="006F7CE5"/>
    <w:rsid w:val="00701A2E"/>
    <w:rsid w:val="00703908"/>
    <w:rsid w:val="00703FBF"/>
    <w:rsid w:val="007060C5"/>
    <w:rsid w:val="00707197"/>
    <w:rsid w:val="00710BDD"/>
    <w:rsid w:val="0071147F"/>
    <w:rsid w:val="00713C44"/>
    <w:rsid w:val="007144EC"/>
    <w:rsid w:val="00715646"/>
    <w:rsid w:val="00715742"/>
    <w:rsid w:val="0071576F"/>
    <w:rsid w:val="00715BF9"/>
    <w:rsid w:val="007160DB"/>
    <w:rsid w:val="007163EC"/>
    <w:rsid w:val="007165C7"/>
    <w:rsid w:val="00716EF6"/>
    <w:rsid w:val="00717676"/>
    <w:rsid w:val="007176E9"/>
    <w:rsid w:val="007207C9"/>
    <w:rsid w:val="0072101F"/>
    <w:rsid w:val="00721036"/>
    <w:rsid w:val="007218D4"/>
    <w:rsid w:val="007223C3"/>
    <w:rsid w:val="0072282D"/>
    <w:rsid w:val="00722D54"/>
    <w:rsid w:val="00723101"/>
    <w:rsid w:val="0072346E"/>
    <w:rsid w:val="007237B7"/>
    <w:rsid w:val="00724089"/>
    <w:rsid w:val="0072437F"/>
    <w:rsid w:val="007248C0"/>
    <w:rsid w:val="00726205"/>
    <w:rsid w:val="007263B4"/>
    <w:rsid w:val="007266E4"/>
    <w:rsid w:val="00727D30"/>
    <w:rsid w:val="00730E94"/>
    <w:rsid w:val="00730EBB"/>
    <w:rsid w:val="00730ED4"/>
    <w:rsid w:val="007320C6"/>
    <w:rsid w:val="007321BC"/>
    <w:rsid w:val="00732A01"/>
    <w:rsid w:val="00732B5C"/>
    <w:rsid w:val="00733D0C"/>
    <w:rsid w:val="00734A5B"/>
    <w:rsid w:val="007368B0"/>
    <w:rsid w:val="00736975"/>
    <w:rsid w:val="00736D2D"/>
    <w:rsid w:val="0074026F"/>
    <w:rsid w:val="00740932"/>
    <w:rsid w:val="007424A8"/>
    <w:rsid w:val="007429F6"/>
    <w:rsid w:val="00744E76"/>
    <w:rsid w:val="0074525F"/>
    <w:rsid w:val="00745E1F"/>
    <w:rsid w:val="00747260"/>
    <w:rsid w:val="007473C8"/>
    <w:rsid w:val="00747FAC"/>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69D"/>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6A3D"/>
    <w:rsid w:val="007771B2"/>
    <w:rsid w:val="00781C03"/>
    <w:rsid w:val="00781F0F"/>
    <w:rsid w:val="00782A98"/>
    <w:rsid w:val="00782C14"/>
    <w:rsid w:val="0078319F"/>
    <w:rsid w:val="007841DA"/>
    <w:rsid w:val="00785BA3"/>
    <w:rsid w:val="00785FDB"/>
    <w:rsid w:val="0078730A"/>
    <w:rsid w:val="00787E52"/>
    <w:rsid w:val="007903CF"/>
    <w:rsid w:val="00790EC5"/>
    <w:rsid w:val="0079137B"/>
    <w:rsid w:val="00792455"/>
    <w:rsid w:val="00792B95"/>
    <w:rsid w:val="00792C7A"/>
    <w:rsid w:val="0079385F"/>
    <w:rsid w:val="007941A3"/>
    <w:rsid w:val="007942AC"/>
    <w:rsid w:val="00794EB8"/>
    <w:rsid w:val="00795EF5"/>
    <w:rsid w:val="00795FA7"/>
    <w:rsid w:val="0079753A"/>
    <w:rsid w:val="0079785A"/>
    <w:rsid w:val="007A00D5"/>
    <w:rsid w:val="007A0E1D"/>
    <w:rsid w:val="007A123B"/>
    <w:rsid w:val="007A198D"/>
    <w:rsid w:val="007A2793"/>
    <w:rsid w:val="007A348D"/>
    <w:rsid w:val="007A38B4"/>
    <w:rsid w:val="007A489F"/>
    <w:rsid w:val="007A48C3"/>
    <w:rsid w:val="007A491F"/>
    <w:rsid w:val="007B0876"/>
    <w:rsid w:val="007B139C"/>
    <w:rsid w:val="007B2CA2"/>
    <w:rsid w:val="007B4363"/>
    <w:rsid w:val="007B4492"/>
    <w:rsid w:val="007B49A3"/>
    <w:rsid w:val="007B55EF"/>
    <w:rsid w:val="007B57F7"/>
    <w:rsid w:val="007B5970"/>
    <w:rsid w:val="007B5E6C"/>
    <w:rsid w:val="007B600E"/>
    <w:rsid w:val="007B6E94"/>
    <w:rsid w:val="007B7408"/>
    <w:rsid w:val="007C03C8"/>
    <w:rsid w:val="007C075B"/>
    <w:rsid w:val="007C0FF9"/>
    <w:rsid w:val="007C15B3"/>
    <w:rsid w:val="007C1969"/>
    <w:rsid w:val="007C2409"/>
    <w:rsid w:val="007C26E7"/>
    <w:rsid w:val="007C3D0F"/>
    <w:rsid w:val="007C3F8E"/>
    <w:rsid w:val="007C482D"/>
    <w:rsid w:val="007C4A1B"/>
    <w:rsid w:val="007C54DB"/>
    <w:rsid w:val="007C5B26"/>
    <w:rsid w:val="007C640C"/>
    <w:rsid w:val="007C7952"/>
    <w:rsid w:val="007D0028"/>
    <w:rsid w:val="007D0102"/>
    <w:rsid w:val="007D104B"/>
    <w:rsid w:val="007D1EB8"/>
    <w:rsid w:val="007D272C"/>
    <w:rsid w:val="007D2967"/>
    <w:rsid w:val="007D2A49"/>
    <w:rsid w:val="007D32B8"/>
    <w:rsid w:val="007D4173"/>
    <w:rsid w:val="007D705B"/>
    <w:rsid w:val="007D70D7"/>
    <w:rsid w:val="007D744D"/>
    <w:rsid w:val="007D79D4"/>
    <w:rsid w:val="007E0B4E"/>
    <w:rsid w:val="007E2028"/>
    <w:rsid w:val="007E397B"/>
    <w:rsid w:val="007E3B2F"/>
    <w:rsid w:val="007E3EB9"/>
    <w:rsid w:val="007E4750"/>
    <w:rsid w:val="007E5C55"/>
    <w:rsid w:val="007E6170"/>
    <w:rsid w:val="007E7746"/>
    <w:rsid w:val="007F076F"/>
    <w:rsid w:val="007F07DC"/>
    <w:rsid w:val="007F0856"/>
    <w:rsid w:val="007F0F4A"/>
    <w:rsid w:val="007F176A"/>
    <w:rsid w:val="007F18BA"/>
    <w:rsid w:val="007F26A6"/>
    <w:rsid w:val="007F384B"/>
    <w:rsid w:val="007F3A2A"/>
    <w:rsid w:val="007F3EBE"/>
    <w:rsid w:val="007F449E"/>
    <w:rsid w:val="007F5CCF"/>
    <w:rsid w:val="007F646D"/>
    <w:rsid w:val="0080095D"/>
    <w:rsid w:val="0080217E"/>
    <w:rsid w:val="008028A4"/>
    <w:rsid w:val="00802FA0"/>
    <w:rsid w:val="008036A8"/>
    <w:rsid w:val="00803756"/>
    <w:rsid w:val="008044C2"/>
    <w:rsid w:val="0080473C"/>
    <w:rsid w:val="0080488F"/>
    <w:rsid w:val="00804B6E"/>
    <w:rsid w:val="008051AC"/>
    <w:rsid w:val="00805D2E"/>
    <w:rsid w:val="008077D0"/>
    <w:rsid w:val="00810C81"/>
    <w:rsid w:val="00811D3B"/>
    <w:rsid w:val="00812481"/>
    <w:rsid w:val="008130D9"/>
    <w:rsid w:val="008130DA"/>
    <w:rsid w:val="00813802"/>
    <w:rsid w:val="00814DD0"/>
    <w:rsid w:val="008172FB"/>
    <w:rsid w:val="0081735D"/>
    <w:rsid w:val="00817F60"/>
    <w:rsid w:val="00820A8D"/>
    <w:rsid w:val="00820B25"/>
    <w:rsid w:val="00822406"/>
    <w:rsid w:val="008231E9"/>
    <w:rsid w:val="00823651"/>
    <w:rsid w:val="00824F90"/>
    <w:rsid w:val="00826BED"/>
    <w:rsid w:val="00826D83"/>
    <w:rsid w:val="008275D2"/>
    <w:rsid w:val="00827DC7"/>
    <w:rsid w:val="00830747"/>
    <w:rsid w:val="00831814"/>
    <w:rsid w:val="00833A1D"/>
    <w:rsid w:val="0083484D"/>
    <w:rsid w:val="00834C99"/>
    <w:rsid w:val="0083535C"/>
    <w:rsid w:val="0083542B"/>
    <w:rsid w:val="00835C5C"/>
    <w:rsid w:val="00835E07"/>
    <w:rsid w:val="00835F68"/>
    <w:rsid w:val="00836588"/>
    <w:rsid w:val="00837219"/>
    <w:rsid w:val="0083737D"/>
    <w:rsid w:val="00837F4C"/>
    <w:rsid w:val="00837FDF"/>
    <w:rsid w:val="00840F0E"/>
    <w:rsid w:val="00841B46"/>
    <w:rsid w:val="00841CB2"/>
    <w:rsid w:val="00841DCF"/>
    <w:rsid w:val="008424AF"/>
    <w:rsid w:val="008431EA"/>
    <w:rsid w:val="0084336D"/>
    <w:rsid w:val="00843617"/>
    <w:rsid w:val="0084364D"/>
    <w:rsid w:val="00843845"/>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2A9"/>
    <w:rsid w:val="0086586C"/>
    <w:rsid w:val="008661ED"/>
    <w:rsid w:val="00866762"/>
    <w:rsid w:val="00870180"/>
    <w:rsid w:val="008724BE"/>
    <w:rsid w:val="008725D2"/>
    <w:rsid w:val="00875066"/>
    <w:rsid w:val="0087548F"/>
    <w:rsid w:val="00876123"/>
    <w:rsid w:val="008768CA"/>
    <w:rsid w:val="00876946"/>
    <w:rsid w:val="008773C3"/>
    <w:rsid w:val="0087778A"/>
    <w:rsid w:val="00877887"/>
    <w:rsid w:val="00877CF1"/>
    <w:rsid w:val="0088106A"/>
    <w:rsid w:val="0088151F"/>
    <w:rsid w:val="00882E3E"/>
    <w:rsid w:val="008834F4"/>
    <w:rsid w:val="00883816"/>
    <w:rsid w:val="00884825"/>
    <w:rsid w:val="00884956"/>
    <w:rsid w:val="0088795C"/>
    <w:rsid w:val="00891185"/>
    <w:rsid w:val="00891647"/>
    <w:rsid w:val="00891659"/>
    <w:rsid w:val="00891AEE"/>
    <w:rsid w:val="00892B17"/>
    <w:rsid w:val="00894947"/>
    <w:rsid w:val="00894949"/>
    <w:rsid w:val="00895E89"/>
    <w:rsid w:val="00896A38"/>
    <w:rsid w:val="008972A6"/>
    <w:rsid w:val="008974F7"/>
    <w:rsid w:val="008A031F"/>
    <w:rsid w:val="008A093A"/>
    <w:rsid w:val="008A2532"/>
    <w:rsid w:val="008A2D77"/>
    <w:rsid w:val="008A41C3"/>
    <w:rsid w:val="008A4747"/>
    <w:rsid w:val="008A4D26"/>
    <w:rsid w:val="008A542D"/>
    <w:rsid w:val="008A61E4"/>
    <w:rsid w:val="008A67D3"/>
    <w:rsid w:val="008A6E42"/>
    <w:rsid w:val="008A7036"/>
    <w:rsid w:val="008B0374"/>
    <w:rsid w:val="008B0B97"/>
    <w:rsid w:val="008B1BC5"/>
    <w:rsid w:val="008B1C26"/>
    <w:rsid w:val="008B24FF"/>
    <w:rsid w:val="008B2A85"/>
    <w:rsid w:val="008B39B0"/>
    <w:rsid w:val="008B3F5A"/>
    <w:rsid w:val="008B5487"/>
    <w:rsid w:val="008B56C3"/>
    <w:rsid w:val="008B5BD1"/>
    <w:rsid w:val="008B70EC"/>
    <w:rsid w:val="008B743C"/>
    <w:rsid w:val="008B7650"/>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7C5"/>
    <w:rsid w:val="008D099C"/>
    <w:rsid w:val="008D1001"/>
    <w:rsid w:val="008D2087"/>
    <w:rsid w:val="008D378E"/>
    <w:rsid w:val="008D3E44"/>
    <w:rsid w:val="008D4F89"/>
    <w:rsid w:val="008D5AA3"/>
    <w:rsid w:val="008D5C0D"/>
    <w:rsid w:val="008E0561"/>
    <w:rsid w:val="008E0687"/>
    <w:rsid w:val="008E0ED7"/>
    <w:rsid w:val="008E17BA"/>
    <w:rsid w:val="008E20D0"/>
    <w:rsid w:val="008E20E3"/>
    <w:rsid w:val="008E3A09"/>
    <w:rsid w:val="008E4601"/>
    <w:rsid w:val="008E544D"/>
    <w:rsid w:val="008E5517"/>
    <w:rsid w:val="008E5803"/>
    <w:rsid w:val="008E597F"/>
    <w:rsid w:val="008E76D0"/>
    <w:rsid w:val="008E7986"/>
    <w:rsid w:val="008E7F78"/>
    <w:rsid w:val="008F2044"/>
    <w:rsid w:val="008F2243"/>
    <w:rsid w:val="008F24B8"/>
    <w:rsid w:val="008F2B3F"/>
    <w:rsid w:val="008F31BF"/>
    <w:rsid w:val="008F320D"/>
    <w:rsid w:val="008F3269"/>
    <w:rsid w:val="008F3656"/>
    <w:rsid w:val="008F3723"/>
    <w:rsid w:val="008F3F01"/>
    <w:rsid w:val="008F6D1A"/>
    <w:rsid w:val="008F779E"/>
    <w:rsid w:val="008F7A79"/>
    <w:rsid w:val="008F7FE6"/>
    <w:rsid w:val="00901351"/>
    <w:rsid w:val="00901CDD"/>
    <w:rsid w:val="0090271F"/>
    <w:rsid w:val="00902AD4"/>
    <w:rsid w:val="00902E23"/>
    <w:rsid w:val="00903EF6"/>
    <w:rsid w:val="0090496B"/>
    <w:rsid w:val="009049BC"/>
    <w:rsid w:val="0090589D"/>
    <w:rsid w:val="00906F32"/>
    <w:rsid w:val="00906F52"/>
    <w:rsid w:val="009078E2"/>
    <w:rsid w:val="0091011A"/>
    <w:rsid w:val="009113D8"/>
    <w:rsid w:val="009114D7"/>
    <w:rsid w:val="00912178"/>
    <w:rsid w:val="00913169"/>
    <w:rsid w:val="0091348E"/>
    <w:rsid w:val="009138F9"/>
    <w:rsid w:val="00915229"/>
    <w:rsid w:val="009158EB"/>
    <w:rsid w:val="00917CCB"/>
    <w:rsid w:val="00920AF7"/>
    <w:rsid w:val="00920E09"/>
    <w:rsid w:val="00922D89"/>
    <w:rsid w:val="00923E2C"/>
    <w:rsid w:val="00924671"/>
    <w:rsid w:val="0092575C"/>
    <w:rsid w:val="009266A0"/>
    <w:rsid w:val="00926B13"/>
    <w:rsid w:val="00926F6B"/>
    <w:rsid w:val="00927E15"/>
    <w:rsid w:val="00927E95"/>
    <w:rsid w:val="00930345"/>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6C9"/>
    <w:rsid w:val="00940D43"/>
    <w:rsid w:val="0094240E"/>
    <w:rsid w:val="009427C3"/>
    <w:rsid w:val="00942EC2"/>
    <w:rsid w:val="00944023"/>
    <w:rsid w:val="00944ECE"/>
    <w:rsid w:val="00945B01"/>
    <w:rsid w:val="00947BE2"/>
    <w:rsid w:val="009516F6"/>
    <w:rsid w:val="00952BA0"/>
    <w:rsid w:val="009542BB"/>
    <w:rsid w:val="00954533"/>
    <w:rsid w:val="00954EF4"/>
    <w:rsid w:val="009550FF"/>
    <w:rsid w:val="0095603D"/>
    <w:rsid w:val="00956D77"/>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536"/>
    <w:rsid w:val="00971B55"/>
    <w:rsid w:val="00974075"/>
    <w:rsid w:val="009744B2"/>
    <w:rsid w:val="0097495D"/>
    <w:rsid w:val="00974D53"/>
    <w:rsid w:val="009761EF"/>
    <w:rsid w:val="0097644A"/>
    <w:rsid w:val="00976D20"/>
    <w:rsid w:val="009774EA"/>
    <w:rsid w:val="00977E53"/>
    <w:rsid w:val="00981C17"/>
    <w:rsid w:val="009825BD"/>
    <w:rsid w:val="00982EE9"/>
    <w:rsid w:val="00985382"/>
    <w:rsid w:val="00985862"/>
    <w:rsid w:val="009860B5"/>
    <w:rsid w:val="00986B68"/>
    <w:rsid w:val="00991172"/>
    <w:rsid w:val="00991441"/>
    <w:rsid w:val="00992752"/>
    <w:rsid w:val="0099327F"/>
    <w:rsid w:val="00993BA7"/>
    <w:rsid w:val="00994C41"/>
    <w:rsid w:val="00994F73"/>
    <w:rsid w:val="00995334"/>
    <w:rsid w:val="009A0C1F"/>
    <w:rsid w:val="009A2096"/>
    <w:rsid w:val="009A3529"/>
    <w:rsid w:val="009A3B6B"/>
    <w:rsid w:val="009A3C3B"/>
    <w:rsid w:val="009A44FA"/>
    <w:rsid w:val="009A5C5C"/>
    <w:rsid w:val="009A5DB8"/>
    <w:rsid w:val="009B004A"/>
    <w:rsid w:val="009B1828"/>
    <w:rsid w:val="009B3174"/>
    <w:rsid w:val="009B31F8"/>
    <w:rsid w:val="009B37E2"/>
    <w:rsid w:val="009B3C0B"/>
    <w:rsid w:val="009B3C6C"/>
    <w:rsid w:val="009B3C80"/>
    <w:rsid w:val="009B484B"/>
    <w:rsid w:val="009B55AC"/>
    <w:rsid w:val="009B56FF"/>
    <w:rsid w:val="009B6134"/>
    <w:rsid w:val="009B6C98"/>
    <w:rsid w:val="009B7988"/>
    <w:rsid w:val="009C067E"/>
    <w:rsid w:val="009C2C1B"/>
    <w:rsid w:val="009C4134"/>
    <w:rsid w:val="009C5893"/>
    <w:rsid w:val="009C6B59"/>
    <w:rsid w:val="009D027F"/>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42D7"/>
    <w:rsid w:val="009E695F"/>
    <w:rsid w:val="009E70F6"/>
    <w:rsid w:val="009E74B3"/>
    <w:rsid w:val="009E76B7"/>
    <w:rsid w:val="009E7750"/>
    <w:rsid w:val="009E7AEA"/>
    <w:rsid w:val="009E7B67"/>
    <w:rsid w:val="009F0566"/>
    <w:rsid w:val="009F1A90"/>
    <w:rsid w:val="009F37B7"/>
    <w:rsid w:val="009F3CF3"/>
    <w:rsid w:val="009F426B"/>
    <w:rsid w:val="009F5890"/>
    <w:rsid w:val="009F5E43"/>
    <w:rsid w:val="009F6903"/>
    <w:rsid w:val="009F75AC"/>
    <w:rsid w:val="00A0013D"/>
    <w:rsid w:val="00A004C3"/>
    <w:rsid w:val="00A00D3C"/>
    <w:rsid w:val="00A018E3"/>
    <w:rsid w:val="00A0272C"/>
    <w:rsid w:val="00A027BC"/>
    <w:rsid w:val="00A02CD8"/>
    <w:rsid w:val="00A02E95"/>
    <w:rsid w:val="00A10F02"/>
    <w:rsid w:val="00A126E7"/>
    <w:rsid w:val="00A13001"/>
    <w:rsid w:val="00A15BD4"/>
    <w:rsid w:val="00A164B4"/>
    <w:rsid w:val="00A1658F"/>
    <w:rsid w:val="00A200FA"/>
    <w:rsid w:val="00A21458"/>
    <w:rsid w:val="00A22B5E"/>
    <w:rsid w:val="00A2341D"/>
    <w:rsid w:val="00A2361D"/>
    <w:rsid w:val="00A24BF9"/>
    <w:rsid w:val="00A24D8C"/>
    <w:rsid w:val="00A26956"/>
    <w:rsid w:val="00A27A6C"/>
    <w:rsid w:val="00A309A6"/>
    <w:rsid w:val="00A30E83"/>
    <w:rsid w:val="00A3155C"/>
    <w:rsid w:val="00A31618"/>
    <w:rsid w:val="00A31F00"/>
    <w:rsid w:val="00A332E5"/>
    <w:rsid w:val="00A33B26"/>
    <w:rsid w:val="00A33E6E"/>
    <w:rsid w:val="00A34D87"/>
    <w:rsid w:val="00A35A01"/>
    <w:rsid w:val="00A3624C"/>
    <w:rsid w:val="00A37CB9"/>
    <w:rsid w:val="00A410B2"/>
    <w:rsid w:val="00A41358"/>
    <w:rsid w:val="00A41384"/>
    <w:rsid w:val="00A454A1"/>
    <w:rsid w:val="00A45667"/>
    <w:rsid w:val="00A45C2F"/>
    <w:rsid w:val="00A505BF"/>
    <w:rsid w:val="00A5176B"/>
    <w:rsid w:val="00A52FD8"/>
    <w:rsid w:val="00A5335F"/>
    <w:rsid w:val="00A53724"/>
    <w:rsid w:val="00A53CA8"/>
    <w:rsid w:val="00A54016"/>
    <w:rsid w:val="00A556C1"/>
    <w:rsid w:val="00A55AC0"/>
    <w:rsid w:val="00A56270"/>
    <w:rsid w:val="00A5647D"/>
    <w:rsid w:val="00A564E5"/>
    <w:rsid w:val="00A60200"/>
    <w:rsid w:val="00A60271"/>
    <w:rsid w:val="00A612EB"/>
    <w:rsid w:val="00A61F0F"/>
    <w:rsid w:val="00A6272D"/>
    <w:rsid w:val="00A62989"/>
    <w:rsid w:val="00A63335"/>
    <w:rsid w:val="00A657EF"/>
    <w:rsid w:val="00A65D22"/>
    <w:rsid w:val="00A65F37"/>
    <w:rsid w:val="00A6670A"/>
    <w:rsid w:val="00A674F2"/>
    <w:rsid w:val="00A70B96"/>
    <w:rsid w:val="00A73129"/>
    <w:rsid w:val="00A7535A"/>
    <w:rsid w:val="00A75469"/>
    <w:rsid w:val="00A814AE"/>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4CE0"/>
    <w:rsid w:val="00A95685"/>
    <w:rsid w:val="00A9596D"/>
    <w:rsid w:val="00A96686"/>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09D"/>
    <w:rsid w:val="00AB4DAD"/>
    <w:rsid w:val="00AB6DF1"/>
    <w:rsid w:val="00AB6ED2"/>
    <w:rsid w:val="00AB6F2F"/>
    <w:rsid w:val="00AB6F59"/>
    <w:rsid w:val="00AB7136"/>
    <w:rsid w:val="00AB7B2B"/>
    <w:rsid w:val="00AB7E75"/>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1817"/>
    <w:rsid w:val="00AE2AE6"/>
    <w:rsid w:val="00AE2CB0"/>
    <w:rsid w:val="00AE3153"/>
    <w:rsid w:val="00AE3797"/>
    <w:rsid w:val="00AE4047"/>
    <w:rsid w:val="00AE6D86"/>
    <w:rsid w:val="00AE73D4"/>
    <w:rsid w:val="00AE79BB"/>
    <w:rsid w:val="00AF20CB"/>
    <w:rsid w:val="00AF2E6C"/>
    <w:rsid w:val="00AF3C40"/>
    <w:rsid w:val="00AF4334"/>
    <w:rsid w:val="00AF447D"/>
    <w:rsid w:val="00AF4E68"/>
    <w:rsid w:val="00AF5DBD"/>
    <w:rsid w:val="00AF5FDD"/>
    <w:rsid w:val="00AF60B9"/>
    <w:rsid w:val="00AF61C7"/>
    <w:rsid w:val="00AF6853"/>
    <w:rsid w:val="00AF7479"/>
    <w:rsid w:val="00AF796C"/>
    <w:rsid w:val="00B00452"/>
    <w:rsid w:val="00B01B3C"/>
    <w:rsid w:val="00B024AE"/>
    <w:rsid w:val="00B02C90"/>
    <w:rsid w:val="00B03002"/>
    <w:rsid w:val="00B036C2"/>
    <w:rsid w:val="00B03D19"/>
    <w:rsid w:val="00B04114"/>
    <w:rsid w:val="00B04944"/>
    <w:rsid w:val="00B04CAE"/>
    <w:rsid w:val="00B055D4"/>
    <w:rsid w:val="00B10BA3"/>
    <w:rsid w:val="00B1467A"/>
    <w:rsid w:val="00B15449"/>
    <w:rsid w:val="00B1554A"/>
    <w:rsid w:val="00B156FB"/>
    <w:rsid w:val="00B15899"/>
    <w:rsid w:val="00B15983"/>
    <w:rsid w:val="00B1598D"/>
    <w:rsid w:val="00B15E3F"/>
    <w:rsid w:val="00B16B69"/>
    <w:rsid w:val="00B16E8F"/>
    <w:rsid w:val="00B210AA"/>
    <w:rsid w:val="00B232B9"/>
    <w:rsid w:val="00B2388D"/>
    <w:rsid w:val="00B23967"/>
    <w:rsid w:val="00B23AC9"/>
    <w:rsid w:val="00B23FC5"/>
    <w:rsid w:val="00B24DD2"/>
    <w:rsid w:val="00B26627"/>
    <w:rsid w:val="00B303D8"/>
    <w:rsid w:val="00B308A4"/>
    <w:rsid w:val="00B312F2"/>
    <w:rsid w:val="00B31AF8"/>
    <w:rsid w:val="00B3295E"/>
    <w:rsid w:val="00B3313E"/>
    <w:rsid w:val="00B35701"/>
    <w:rsid w:val="00B35A1D"/>
    <w:rsid w:val="00B36F28"/>
    <w:rsid w:val="00B402DF"/>
    <w:rsid w:val="00B40473"/>
    <w:rsid w:val="00B40A30"/>
    <w:rsid w:val="00B4137B"/>
    <w:rsid w:val="00B42493"/>
    <w:rsid w:val="00B42610"/>
    <w:rsid w:val="00B4263A"/>
    <w:rsid w:val="00B42DEC"/>
    <w:rsid w:val="00B43E32"/>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5B6A"/>
    <w:rsid w:val="00B77231"/>
    <w:rsid w:val="00B77F8A"/>
    <w:rsid w:val="00B80031"/>
    <w:rsid w:val="00B80363"/>
    <w:rsid w:val="00B80DE9"/>
    <w:rsid w:val="00B813BA"/>
    <w:rsid w:val="00B84888"/>
    <w:rsid w:val="00B84CFF"/>
    <w:rsid w:val="00B85152"/>
    <w:rsid w:val="00B85AC6"/>
    <w:rsid w:val="00B85BAA"/>
    <w:rsid w:val="00B87A29"/>
    <w:rsid w:val="00B90EE8"/>
    <w:rsid w:val="00B9159B"/>
    <w:rsid w:val="00B917D6"/>
    <w:rsid w:val="00B91A3D"/>
    <w:rsid w:val="00B91D74"/>
    <w:rsid w:val="00B92952"/>
    <w:rsid w:val="00B92E6B"/>
    <w:rsid w:val="00B93086"/>
    <w:rsid w:val="00B932E6"/>
    <w:rsid w:val="00B93937"/>
    <w:rsid w:val="00B93956"/>
    <w:rsid w:val="00B93D4D"/>
    <w:rsid w:val="00B94827"/>
    <w:rsid w:val="00B95D1A"/>
    <w:rsid w:val="00B9660C"/>
    <w:rsid w:val="00B97442"/>
    <w:rsid w:val="00BA0DB1"/>
    <w:rsid w:val="00BA14B1"/>
    <w:rsid w:val="00BA19ED"/>
    <w:rsid w:val="00BA1CB2"/>
    <w:rsid w:val="00BA1F98"/>
    <w:rsid w:val="00BA2EC4"/>
    <w:rsid w:val="00BA300B"/>
    <w:rsid w:val="00BA4B8D"/>
    <w:rsid w:val="00BA5E4E"/>
    <w:rsid w:val="00BA62D4"/>
    <w:rsid w:val="00BA6E50"/>
    <w:rsid w:val="00BB02A6"/>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00"/>
    <w:rsid w:val="00BC3CC9"/>
    <w:rsid w:val="00BC43DA"/>
    <w:rsid w:val="00BC4B89"/>
    <w:rsid w:val="00BC7F26"/>
    <w:rsid w:val="00BD0B2C"/>
    <w:rsid w:val="00BD1B60"/>
    <w:rsid w:val="00BD270C"/>
    <w:rsid w:val="00BD4C22"/>
    <w:rsid w:val="00BD4EA3"/>
    <w:rsid w:val="00BD51AD"/>
    <w:rsid w:val="00BD5302"/>
    <w:rsid w:val="00BD58F5"/>
    <w:rsid w:val="00BD5A72"/>
    <w:rsid w:val="00BD6741"/>
    <w:rsid w:val="00BD692F"/>
    <w:rsid w:val="00BD69F8"/>
    <w:rsid w:val="00BD7044"/>
    <w:rsid w:val="00BE276B"/>
    <w:rsid w:val="00BE3255"/>
    <w:rsid w:val="00BE364B"/>
    <w:rsid w:val="00BE3A48"/>
    <w:rsid w:val="00BE4784"/>
    <w:rsid w:val="00BE654A"/>
    <w:rsid w:val="00BE6B71"/>
    <w:rsid w:val="00BE6B90"/>
    <w:rsid w:val="00BF0253"/>
    <w:rsid w:val="00BF0928"/>
    <w:rsid w:val="00BF09C4"/>
    <w:rsid w:val="00BF0D5E"/>
    <w:rsid w:val="00BF128E"/>
    <w:rsid w:val="00BF16AD"/>
    <w:rsid w:val="00BF2201"/>
    <w:rsid w:val="00BF2E77"/>
    <w:rsid w:val="00C010ED"/>
    <w:rsid w:val="00C017AD"/>
    <w:rsid w:val="00C01B31"/>
    <w:rsid w:val="00C021C8"/>
    <w:rsid w:val="00C026F7"/>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190"/>
    <w:rsid w:val="00C15F1C"/>
    <w:rsid w:val="00C1683D"/>
    <w:rsid w:val="00C20A2D"/>
    <w:rsid w:val="00C24607"/>
    <w:rsid w:val="00C266EA"/>
    <w:rsid w:val="00C26B03"/>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6F63"/>
    <w:rsid w:val="00C47F16"/>
    <w:rsid w:val="00C51253"/>
    <w:rsid w:val="00C51923"/>
    <w:rsid w:val="00C53289"/>
    <w:rsid w:val="00C53EF1"/>
    <w:rsid w:val="00C5443D"/>
    <w:rsid w:val="00C54945"/>
    <w:rsid w:val="00C54B9B"/>
    <w:rsid w:val="00C557E2"/>
    <w:rsid w:val="00C55A92"/>
    <w:rsid w:val="00C55FBD"/>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B0C"/>
    <w:rsid w:val="00C77E88"/>
    <w:rsid w:val="00C80D5C"/>
    <w:rsid w:val="00C80F1D"/>
    <w:rsid w:val="00C81A25"/>
    <w:rsid w:val="00C82B2D"/>
    <w:rsid w:val="00C83D45"/>
    <w:rsid w:val="00C83DBE"/>
    <w:rsid w:val="00C84921"/>
    <w:rsid w:val="00C857B6"/>
    <w:rsid w:val="00C90B7F"/>
    <w:rsid w:val="00C91007"/>
    <w:rsid w:val="00C9176F"/>
    <w:rsid w:val="00C927A1"/>
    <w:rsid w:val="00C938FC"/>
    <w:rsid w:val="00C93E8E"/>
    <w:rsid w:val="00C93F40"/>
    <w:rsid w:val="00C9406B"/>
    <w:rsid w:val="00C956B4"/>
    <w:rsid w:val="00C95E27"/>
    <w:rsid w:val="00C95FFE"/>
    <w:rsid w:val="00C962AC"/>
    <w:rsid w:val="00C965BA"/>
    <w:rsid w:val="00C96B51"/>
    <w:rsid w:val="00C96D28"/>
    <w:rsid w:val="00CA082B"/>
    <w:rsid w:val="00CA0DD0"/>
    <w:rsid w:val="00CA19CE"/>
    <w:rsid w:val="00CA3A2F"/>
    <w:rsid w:val="00CA3D0C"/>
    <w:rsid w:val="00CA44A8"/>
    <w:rsid w:val="00CA464A"/>
    <w:rsid w:val="00CA4D54"/>
    <w:rsid w:val="00CA5E8D"/>
    <w:rsid w:val="00CA60A5"/>
    <w:rsid w:val="00CA68B8"/>
    <w:rsid w:val="00CB2FE4"/>
    <w:rsid w:val="00CB3AB8"/>
    <w:rsid w:val="00CB61E9"/>
    <w:rsid w:val="00CB704E"/>
    <w:rsid w:val="00CC1992"/>
    <w:rsid w:val="00CC3EE9"/>
    <w:rsid w:val="00CC49D4"/>
    <w:rsid w:val="00CC686C"/>
    <w:rsid w:val="00CD1C49"/>
    <w:rsid w:val="00CD3AE7"/>
    <w:rsid w:val="00CD4276"/>
    <w:rsid w:val="00CD62A6"/>
    <w:rsid w:val="00CD703D"/>
    <w:rsid w:val="00CD78CC"/>
    <w:rsid w:val="00CE06A0"/>
    <w:rsid w:val="00CE116D"/>
    <w:rsid w:val="00CE180A"/>
    <w:rsid w:val="00CE196D"/>
    <w:rsid w:val="00CE1D05"/>
    <w:rsid w:val="00CE2674"/>
    <w:rsid w:val="00CE61BF"/>
    <w:rsid w:val="00CE6A95"/>
    <w:rsid w:val="00CE768F"/>
    <w:rsid w:val="00CF092D"/>
    <w:rsid w:val="00CF1CAF"/>
    <w:rsid w:val="00CF20E3"/>
    <w:rsid w:val="00CF2E52"/>
    <w:rsid w:val="00CF2F3C"/>
    <w:rsid w:val="00CF3F45"/>
    <w:rsid w:val="00CF497E"/>
    <w:rsid w:val="00CF4C3E"/>
    <w:rsid w:val="00CF57CF"/>
    <w:rsid w:val="00CF6BEB"/>
    <w:rsid w:val="00CF6D1A"/>
    <w:rsid w:val="00D018AC"/>
    <w:rsid w:val="00D01EDA"/>
    <w:rsid w:val="00D04091"/>
    <w:rsid w:val="00D05790"/>
    <w:rsid w:val="00D077AF"/>
    <w:rsid w:val="00D10D66"/>
    <w:rsid w:val="00D12F4D"/>
    <w:rsid w:val="00D131EC"/>
    <w:rsid w:val="00D14B99"/>
    <w:rsid w:val="00D151EB"/>
    <w:rsid w:val="00D15BBA"/>
    <w:rsid w:val="00D1629F"/>
    <w:rsid w:val="00D16891"/>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3411"/>
    <w:rsid w:val="00D348CD"/>
    <w:rsid w:val="00D34B02"/>
    <w:rsid w:val="00D35AF0"/>
    <w:rsid w:val="00D36090"/>
    <w:rsid w:val="00D406BF"/>
    <w:rsid w:val="00D414E1"/>
    <w:rsid w:val="00D41908"/>
    <w:rsid w:val="00D44D0D"/>
    <w:rsid w:val="00D4563E"/>
    <w:rsid w:val="00D463FE"/>
    <w:rsid w:val="00D46431"/>
    <w:rsid w:val="00D464CE"/>
    <w:rsid w:val="00D468B9"/>
    <w:rsid w:val="00D46EDF"/>
    <w:rsid w:val="00D47342"/>
    <w:rsid w:val="00D478E7"/>
    <w:rsid w:val="00D521CF"/>
    <w:rsid w:val="00D53AA0"/>
    <w:rsid w:val="00D55AA9"/>
    <w:rsid w:val="00D56A52"/>
    <w:rsid w:val="00D578E1"/>
    <w:rsid w:val="00D57972"/>
    <w:rsid w:val="00D62494"/>
    <w:rsid w:val="00D6351A"/>
    <w:rsid w:val="00D64E4B"/>
    <w:rsid w:val="00D656C3"/>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4E2F"/>
    <w:rsid w:val="00D95890"/>
    <w:rsid w:val="00D958BB"/>
    <w:rsid w:val="00D95BF6"/>
    <w:rsid w:val="00D95CD3"/>
    <w:rsid w:val="00D96486"/>
    <w:rsid w:val="00D97382"/>
    <w:rsid w:val="00D977AC"/>
    <w:rsid w:val="00D97D49"/>
    <w:rsid w:val="00DA023E"/>
    <w:rsid w:val="00DA1372"/>
    <w:rsid w:val="00DA1929"/>
    <w:rsid w:val="00DA1B7B"/>
    <w:rsid w:val="00DA2B74"/>
    <w:rsid w:val="00DA33A0"/>
    <w:rsid w:val="00DA40E8"/>
    <w:rsid w:val="00DA51E4"/>
    <w:rsid w:val="00DA7141"/>
    <w:rsid w:val="00DA7A03"/>
    <w:rsid w:val="00DB00F0"/>
    <w:rsid w:val="00DB12EC"/>
    <w:rsid w:val="00DB1818"/>
    <w:rsid w:val="00DB2F8C"/>
    <w:rsid w:val="00DB36F5"/>
    <w:rsid w:val="00DB3D29"/>
    <w:rsid w:val="00DB3EE4"/>
    <w:rsid w:val="00DB4E8A"/>
    <w:rsid w:val="00DB5E39"/>
    <w:rsid w:val="00DB6A8E"/>
    <w:rsid w:val="00DC01C9"/>
    <w:rsid w:val="00DC1E78"/>
    <w:rsid w:val="00DC309B"/>
    <w:rsid w:val="00DC30D1"/>
    <w:rsid w:val="00DC4487"/>
    <w:rsid w:val="00DC4DA2"/>
    <w:rsid w:val="00DC5B2C"/>
    <w:rsid w:val="00DC5C2C"/>
    <w:rsid w:val="00DC67FE"/>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1DBD"/>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6CDE"/>
    <w:rsid w:val="00DF75D4"/>
    <w:rsid w:val="00DF79B8"/>
    <w:rsid w:val="00DF7DA3"/>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CEC"/>
    <w:rsid w:val="00E11EC3"/>
    <w:rsid w:val="00E1233E"/>
    <w:rsid w:val="00E12762"/>
    <w:rsid w:val="00E131AD"/>
    <w:rsid w:val="00E1331A"/>
    <w:rsid w:val="00E135A4"/>
    <w:rsid w:val="00E13876"/>
    <w:rsid w:val="00E143A0"/>
    <w:rsid w:val="00E147CF"/>
    <w:rsid w:val="00E16430"/>
    <w:rsid w:val="00E16509"/>
    <w:rsid w:val="00E168E8"/>
    <w:rsid w:val="00E17D5F"/>
    <w:rsid w:val="00E2397C"/>
    <w:rsid w:val="00E26953"/>
    <w:rsid w:val="00E27694"/>
    <w:rsid w:val="00E30AB0"/>
    <w:rsid w:val="00E3159C"/>
    <w:rsid w:val="00E31998"/>
    <w:rsid w:val="00E32845"/>
    <w:rsid w:val="00E335E1"/>
    <w:rsid w:val="00E3366C"/>
    <w:rsid w:val="00E341F7"/>
    <w:rsid w:val="00E34C44"/>
    <w:rsid w:val="00E35994"/>
    <w:rsid w:val="00E35E10"/>
    <w:rsid w:val="00E35E30"/>
    <w:rsid w:val="00E3725E"/>
    <w:rsid w:val="00E373AC"/>
    <w:rsid w:val="00E40020"/>
    <w:rsid w:val="00E4054F"/>
    <w:rsid w:val="00E40989"/>
    <w:rsid w:val="00E40AFA"/>
    <w:rsid w:val="00E41783"/>
    <w:rsid w:val="00E41DAC"/>
    <w:rsid w:val="00E42A69"/>
    <w:rsid w:val="00E42FF3"/>
    <w:rsid w:val="00E43DA9"/>
    <w:rsid w:val="00E44582"/>
    <w:rsid w:val="00E46101"/>
    <w:rsid w:val="00E46848"/>
    <w:rsid w:val="00E471EA"/>
    <w:rsid w:val="00E4726C"/>
    <w:rsid w:val="00E507ED"/>
    <w:rsid w:val="00E50F66"/>
    <w:rsid w:val="00E51949"/>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465"/>
    <w:rsid w:val="00E73C58"/>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4BCB"/>
    <w:rsid w:val="00E84FC4"/>
    <w:rsid w:val="00E8589B"/>
    <w:rsid w:val="00E874AB"/>
    <w:rsid w:val="00E8768C"/>
    <w:rsid w:val="00E87A50"/>
    <w:rsid w:val="00E9079B"/>
    <w:rsid w:val="00E9104E"/>
    <w:rsid w:val="00E91C9A"/>
    <w:rsid w:val="00E92F47"/>
    <w:rsid w:val="00E92F48"/>
    <w:rsid w:val="00E93A18"/>
    <w:rsid w:val="00E93A85"/>
    <w:rsid w:val="00E93BD7"/>
    <w:rsid w:val="00E965F3"/>
    <w:rsid w:val="00E969C0"/>
    <w:rsid w:val="00EA117C"/>
    <w:rsid w:val="00EA1F72"/>
    <w:rsid w:val="00EA2536"/>
    <w:rsid w:val="00EA2C05"/>
    <w:rsid w:val="00EA3BF9"/>
    <w:rsid w:val="00EA3D7F"/>
    <w:rsid w:val="00EA42E3"/>
    <w:rsid w:val="00EA45E9"/>
    <w:rsid w:val="00EA4A15"/>
    <w:rsid w:val="00EA5B0D"/>
    <w:rsid w:val="00EA5B15"/>
    <w:rsid w:val="00EA6749"/>
    <w:rsid w:val="00EA70F0"/>
    <w:rsid w:val="00EB0A41"/>
    <w:rsid w:val="00EB0A95"/>
    <w:rsid w:val="00EB11F4"/>
    <w:rsid w:val="00EB13F1"/>
    <w:rsid w:val="00EB1AF0"/>
    <w:rsid w:val="00EB2054"/>
    <w:rsid w:val="00EB21AD"/>
    <w:rsid w:val="00EB22F4"/>
    <w:rsid w:val="00EB28F1"/>
    <w:rsid w:val="00EB4767"/>
    <w:rsid w:val="00EB5408"/>
    <w:rsid w:val="00EB5899"/>
    <w:rsid w:val="00EB5D90"/>
    <w:rsid w:val="00EB7762"/>
    <w:rsid w:val="00EB7A96"/>
    <w:rsid w:val="00EC03D3"/>
    <w:rsid w:val="00EC0ABB"/>
    <w:rsid w:val="00EC0B1B"/>
    <w:rsid w:val="00EC19C2"/>
    <w:rsid w:val="00EC2EDA"/>
    <w:rsid w:val="00EC3517"/>
    <w:rsid w:val="00EC3C57"/>
    <w:rsid w:val="00EC46FD"/>
    <w:rsid w:val="00EC4A25"/>
    <w:rsid w:val="00EC5619"/>
    <w:rsid w:val="00EC5CF0"/>
    <w:rsid w:val="00EC6B55"/>
    <w:rsid w:val="00EC6FAB"/>
    <w:rsid w:val="00EC73C5"/>
    <w:rsid w:val="00EC7900"/>
    <w:rsid w:val="00EC7B6A"/>
    <w:rsid w:val="00ED0967"/>
    <w:rsid w:val="00ED1FD6"/>
    <w:rsid w:val="00ED34BC"/>
    <w:rsid w:val="00ED350C"/>
    <w:rsid w:val="00ED3A17"/>
    <w:rsid w:val="00ED3E37"/>
    <w:rsid w:val="00ED3EF5"/>
    <w:rsid w:val="00ED4BDF"/>
    <w:rsid w:val="00ED512B"/>
    <w:rsid w:val="00ED691D"/>
    <w:rsid w:val="00ED7F91"/>
    <w:rsid w:val="00EE0914"/>
    <w:rsid w:val="00EE2343"/>
    <w:rsid w:val="00EE29D0"/>
    <w:rsid w:val="00EE5AA7"/>
    <w:rsid w:val="00EE6A12"/>
    <w:rsid w:val="00EE6E8B"/>
    <w:rsid w:val="00EE7366"/>
    <w:rsid w:val="00EE73D0"/>
    <w:rsid w:val="00EF086F"/>
    <w:rsid w:val="00EF23F0"/>
    <w:rsid w:val="00EF3AC0"/>
    <w:rsid w:val="00EF43A6"/>
    <w:rsid w:val="00EF46B5"/>
    <w:rsid w:val="00EF4D0A"/>
    <w:rsid w:val="00EF61CA"/>
    <w:rsid w:val="00EF7985"/>
    <w:rsid w:val="00EF7F60"/>
    <w:rsid w:val="00F015A4"/>
    <w:rsid w:val="00F01A41"/>
    <w:rsid w:val="00F02149"/>
    <w:rsid w:val="00F02353"/>
    <w:rsid w:val="00F02526"/>
    <w:rsid w:val="00F025A2"/>
    <w:rsid w:val="00F03970"/>
    <w:rsid w:val="00F04712"/>
    <w:rsid w:val="00F0543B"/>
    <w:rsid w:val="00F061DC"/>
    <w:rsid w:val="00F0660D"/>
    <w:rsid w:val="00F06786"/>
    <w:rsid w:val="00F06E57"/>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D2"/>
    <w:rsid w:val="00F2651F"/>
    <w:rsid w:val="00F2693A"/>
    <w:rsid w:val="00F26BF1"/>
    <w:rsid w:val="00F26D92"/>
    <w:rsid w:val="00F273D3"/>
    <w:rsid w:val="00F27A5F"/>
    <w:rsid w:val="00F27CC9"/>
    <w:rsid w:val="00F314DF"/>
    <w:rsid w:val="00F31597"/>
    <w:rsid w:val="00F31D32"/>
    <w:rsid w:val="00F31DAF"/>
    <w:rsid w:val="00F325C8"/>
    <w:rsid w:val="00F327C1"/>
    <w:rsid w:val="00F3286B"/>
    <w:rsid w:val="00F32DA2"/>
    <w:rsid w:val="00F3307F"/>
    <w:rsid w:val="00F3356C"/>
    <w:rsid w:val="00F33687"/>
    <w:rsid w:val="00F33765"/>
    <w:rsid w:val="00F33AD7"/>
    <w:rsid w:val="00F33DEF"/>
    <w:rsid w:val="00F35255"/>
    <w:rsid w:val="00F35712"/>
    <w:rsid w:val="00F369DD"/>
    <w:rsid w:val="00F37626"/>
    <w:rsid w:val="00F37CB5"/>
    <w:rsid w:val="00F4005E"/>
    <w:rsid w:val="00F42B25"/>
    <w:rsid w:val="00F43A52"/>
    <w:rsid w:val="00F442E6"/>
    <w:rsid w:val="00F44AA2"/>
    <w:rsid w:val="00F4531C"/>
    <w:rsid w:val="00F462C7"/>
    <w:rsid w:val="00F50255"/>
    <w:rsid w:val="00F51FB6"/>
    <w:rsid w:val="00F52DF7"/>
    <w:rsid w:val="00F5419E"/>
    <w:rsid w:val="00F558DB"/>
    <w:rsid w:val="00F55B35"/>
    <w:rsid w:val="00F56411"/>
    <w:rsid w:val="00F567DF"/>
    <w:rsid w:val="00F568EF"/>
    <w:rsid w:val="00F56A69"/>
    <w:rsid w:val="00F571A4"/>
    <w:rsid w:val="00F5728D"/>
    <w:rsid w:val="00F614AC"/>
    <w:rsid w:val="00F62AEB"/>
    <w:rsid w:val="00F63B86"/>
    <w:rsid w:val="00F653B8"/>
    <w:rsid w:val="00F655F3"/>
    <w:rsid w:val="00F66D77"/>
    <w:rsid w:val="00F70647"/>
    <w:rsid w:val="00F719BF"/>
    <w:rsid w:val="00F7204E"/>
    <w:rsid w:val="00F72667"/>
    <w:rsid w:val="00F73852"/>
    <w:rsid w:val="00F745F9"/>
    <w:rsid w:val="00F74FD5"/>
    <w:rsid w:val="00F76C25"/>
    <w:rsid w:val="00F813B7"/>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29A7"/>
    <w:rsid w:val="00FA34DD"/>
    <w:rsid w:val="00FA3571"/>
    <w:rsid w:val="00FA42A9"/>
    <w:rsid w:val="00FA5A3B"/>
    <w:rsid w:val="00FA7305"/>
    <w:rsid w:val="00FA7625"/>
    <w:rsid w:val="00FA77A1"/>
    <w:rsid w:val="00FB03C5"/>
    <w:rsid w:val="00FB106E"/>
    <w:rsid w:val="00FB14B0"/>
    <w:rsid w:val="00FB4CD7"/>
    <w:rsid w:val="00FB5BB9"/>
    <w:rsid w:val="00FB6501"/>
    <w:rsid w:val="00FC0A0F"/>
    <w:rsid w:val="00FC0EF5"/>
    <w:rsid w:val="00FC1192"/>
    <w:rsid w:val="00FC61DF"/>
    <w:rsid w:val="00FC67A9"/>
    <w:rsid w:val="00FC7243"/>
    <w:rsid w:val="00FD1FA6"/>
    <w:rsid w:val="00FD297E"/>
    <w:rsid w:val="00FD312C"/>
    <w:rsid w:val="00FD4813"/>
    <w:rsid w:val="00FD48F9"/>
    <w:rsid w:val="00FD53F3"/>
    <w:rsid w:val="00FD6222"/>
    <w:rsid w:val="00FD6240"/>
    <w:rsid w:val="00FD6A23"/>
    <w:rsid w:val="00FD6BCE"/>
    <w:rsid w:val="00FD6FA7"/>
    <w:rsid w:val="00FD7136"/>
    <w:rsid w:val="00FE1B72"/>
    <w:rsid w:val="00FE2D04"/>
    <w:rsid w:val="00FE31E7"/>
    <w:rsid w:val="00FE34CC"/>
    <w:rsid w:val="00FE3DE0"/>
    <w:rsid w:val="00FE4CDB"/>
    <w:rsid w:val="00FE51A3"/>
    <w:rsid w:val="00FE55C8"/>
    <w:rsid w:val="00FE5A30"/>
    <w:rsid w:val="00FE63B0"/>
    <w:rsid w:val="00FE6CF4"/>
    <w:rsid w:val="00FE6FDE"/>
    <w:rsid w:val="00FE78AC"/>
    <w:rsid w:val="00FF01FA"/>
    <w:rsid w:val="00FF05BF"/>
    <w:rsid w:val="00FF1EBA"/>
    <w:rsid w:val="00FF3260"/>
    <w:rsid w:val="00FF3742"/>
    <w:rsid w:val="00FF3E98"/>
    <w:rsid w:val="00FF4D2F"/>
    <w:rsid w:val="00FF6266"/>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999">
      <w:bodyDiv w:val="1"/>
      <w:marLeft w:val="0"/>
      <w:marRight w:val="0"/>
      <w:marTop w:val="0"/>
      <w:marBottom w:val="0"/>
      <w:divBdr>
        <w:top w:val="none" w:sz="0" w:space="0" w:color="auto"/>
        <w:left w:val="none" w:sz="0" w:space="0" w:color="auto"/>
        <w:bottom w:val="none" w:sz="0" w:space="0" w:color="auto"/>
        <w:right w:val="none" w:sz="0" w:space="0" w:color="auto"/>
      </w:divBdr>
    </w:div>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60105659">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48833276">
      <w:bodyDiv w:val="1"/>
      <w:marLeft w:val="0"/>
      <w:marRight w:val="0"/>
      <w:marTop w:val="0"/>
      <w:marBottom w:val="0"/>
      <w:divBdr>
        <w:top w:val="none" w:sz="0" w:space="0" w:color="auto"/>
        <w:left w:val="none" w:sz="0" w:space="0" w:color="auto"/>
        <w:bottom w:val="none" w:sz="0" w:space="0" w:color="auto"/>
        <w:right w:val="none" w:sz="0" w:space="0" w:color="auto"/>
      </w:divBdr>
    </w:div>
    <w:div w:id="174343687">
      <w:bodyDiv w:val="1"/>
      <w:marLeft w:val="0"/>
      <w:marRight w:val="0"/>
      <w:marTop w:val="0"/>
      <w:marBottom w:val="0"/>
      <w:divBdr>
        <w:top w:val="none" w:sz="0" w:space="0" w:color="auto"/>
        <w:left w:val="none" w:sz="0" w:space="0" w:color="auto"/>
        <w:bottom w:val="none" w:sz="0" w:space="0" w:color="auto"/>
        <w:right w:val="none" w:sz="0" w:space="0" w:color="auto"/>
      </w:divBdr>
    </w:div>
    <w:div w:id="215899663">
      <w:bodyDiv w:val="1"/>
      <w:marLeft w:val="0"/>
      <w:marRight w:val="0"/>
      <w:marTop w:val="0"/>
      <w:marBottom w:val="0"/>
      <w:divBdr>
        <w:top w:val="none" w:sz="0" w:space="0" w:color="auto"/>
        <w:left w:val="none" w:sz="0" w:space="0" w:color="auto"/>
        <w:bottom w:val="none" w:sz="0" w:space="0" w:color="auto"/>
        <w:right w:val="none" w:sz="0" w:space="0" w:color="auto"/>
      </w:divBdr>
    </w:div>
    <w:div w:id="29814992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0222196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34454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0592256">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709052">
      <w:bodyDiv w:val="1"/>
      <w:marLeft w:val="0"/>
      <w:marRight w:val="0"/>
      <w:marTop w:val="0"/>
      <w:marBottom w:val="0"/>
      <w:divBdr>
        <w:top w:val="none" w:sz="0" w:space="0" w:color="auto"/>
        <w:left w:val="none" w:sz="0" w:space="0" w:color="auto"/>
        <w:bottom w:val="none" w:sz="0" w:space="0" w:color="auto"/>
        <w:right w:val="none" w:sz="0" w:space="0" w:color="auto"/>
      </w:divBdr>
    </w:div>
    <w:div w:id="1348676697">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06029398">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11525285">
      <w:bodyDiv w:val="1"/>
      <w:marLeft w:val="0"/>
      <w:marRight w:val="0"/>
      <w:marTop w:val="0"/>
      <w:marBottom w:val="0"/>
      <w:divBdr>
        <w:top w:val="none" w:sz="0" w:space="0" w:color="auto"/>
        <w:left w:val="none" w:sz="0" w:space="0" w:color="auto"/>
        <w:bottom w:val="none" w:sz="0" w:space="0" w:color="auto"/>
        <w:right w:val="none" w:sz="0" w:space="0" w:color="auto"/>
      </w:divBdr>
    </w:div>
    <w:div w:id="1551646597">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8563743">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41177115">
      <w:bodyDiv w:val="1"/>
      <w:marLeft w:val="0"/>
      <w:marRight w:val="0"/>
      <w:marTop w:val="0"/>
      <w:marBottom w:val="0"/>
      <w:divBdr>
        <w:top w:val="none" w:sz="0" w:space="0" w:color="auto"/>
        <w:left w:val="none" w:sz="0" w:space="0" w:color="auto"/>
        <w:bottom w:val="none" w:sz="0" w:space="0" w:color="auto"/>
        <w:right w:val="none" w:sz="0" w:space="0" w:color="auto"/>
      </w:divBdr>
    </w:div>
    <w:div w:id="1768383316">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0000351">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25528">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536960">
      <w:bodyDiv w:val="1"/>
      <w:marLeft w:val="0"/>
      <w:marRight w:val="0"/>
      <w:marTop w:val="0"/>
      <w:marBottom w:val="0"/>
      <w:divBdr>
        <w:top w:val="none" w:sz="0" w:space="0" w:color="auto"/>
        <w:left w:val="none" w:sz="0" w:space="0" w:color="auto"/>
        <w:bottom w:val="none" w:sz="0" w:space="0" w:color="auto"/>
        <w:right w:val="none" w:sz="0" w:space="0" w:color="auto"/>
      </w:divBdr>
    </w:div>
    <w:div w:id="2001081891">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1011">
      <w:bodyDiv w:val="1"/>
      <w:marLeft w:val="0"/>
      <w:marRight w:val="0"/>
      <w:marTop w:val="0"/>
      <w:marBottom w:val="0"/>
      <w:divBdr>
        <w:top w:val="none" w:sz="0" w:space="0" w:color="auto"/>
        <w:left w:val="none" w:sz="0" w:space="0" w:color="auto"/>
        <w:bottom w:val="none" w:sz="0" w:space="0" w:color="auto"/>
        <w:right w:val="none" w:sz="0" w:space="0" w:color="auto"/>
      </w:divBdr>
    </w:div>
    <w:div w:id="2038386070">
      <w:bodyDiv w:val="1"/>
      <w:marLeft w:val="0"/>
      <w:marRight w:val="0"/>
      <w:marTop w:val="0"/>
      <w:marBottom w:val="0"/>
      <w:divBdr>
        <w:top w:val="none" w:sz="0" w:space="0" w:color="auto"/>
        <w:left w:val="none" w:sz="0" w:space="0" w:color="auto"/>
        <w:bottom w:val="none" w:sz="0" w:space="0" w:color="auto"/>
        <w:right w:val="none" w:sz="0" w:space="0" w:color="auto"/>
      </w:divBdr>
    </w:div>
    <w:div w:id="2090882395">
      <w:bodyDiv w:val="1"/>
      <w:marLeft w:val="0"/>
      <w:marRight w:val="0"/>
      <w:marTop w:val="0"/>
      <w:marBottom w:val="0"/>
      <w:divBdr>
        <w:top w:val="none" w:sz="0" w:space="0" w:color="auto"/>
        <w:left w:val="none" w:sz="0" w:space="0" w:color="auto"/>
        <w:bottom w:val="none" w:sz="0" w:space="0" w:color="auto"/>
        <w:right w:val="none" w:sz="0" w:space="0" w:color="auto"/>
      </w:divBdr>
    </w:div>
    <w:div w:id="2106265942">
      <w:bodyDiv w:val="1"/>
      <w:marLeft w:val="0"/>
      <w:marRight w:val="0"/>
      <w:marTop w:val="0"/>
      <w:marBottom w:val="0"/>
      <w:divBdr>
        <w:top w:val="none" w:sz="0" w:space="0" w:color="auto"/>
        <w:left w:val="none" w:sz="0" w:space="0" w:color="auto"/>
        <w:bottom w:val="none" w:sz="0" w:space="0" w:color="auto"/>
        <w:right w:val="none" w:sz="0" w:space="0" w:color="auto"/>
      </w:divBdr>
    </w:div>
    <w:div w:id="213529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6</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2023-05-15T20:57:00Z</dcterms:modified>
  <cp:category/>
</cp:coreProperties>
</file>